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9B" w:rsidRPr="00193B34" w:rsidRDefault="00803D9B" w:rsidP="00193B34">
      <w:pPr>
        <w:shd w:val="clear" w:color="auto" w:fill="FFFFFF" w:themeFill="background1"/>
        <w:spacing w:before="180" w:after="180" w:line="360" w:lineRule="atLeast"/>
        <w:outlineLvl w:val="2"/>
        <w:rPr>
          <w:rFonts w:eastAsia="Times New Roman" w:cstheme="minorHAnsi"/>
          <w:b/>
          <w:color w:val="4A4A4A"/>
          <w:sz w:val="24"/>
          <w:szCs w:val="24"/>
          <w:u w:val="single"/>
          <w:lang w:eastAsia="en-GB"/>
        </w:rPr>
      </w:pPr>
      <w:r w:rsidRPr="00193B34">
        <w:rPr>
          <w:rFonts w:eastAsia="Times New Roman" w:cstheme="minorHAnsi"/>
          <w:b/>
          <w:color w:val="4A4A4A"/>
          <w:sz w:val="24"/>
          <w:szCs w:val="24"/>
          <w:u w:val="single"/>
          <w:lang w:eastAsia="en-GB"/>
        </w:rPr>
        <w:t>NBT New ICE 2 Week Wait Referral System-Guidance</w:t>
      </w:r>
    </w:p>
    <w:p w:rsidR="00803D9B" w:rsidRPr="00193B34" w:rsidRDefault="0049763E" w:rsidP="00193B34">
      <w:pPr>
        <w:shd w:val="clear" w:color="auto" w:fill="FFFFFF" w:themeFill="background1"/>
        <w:spacing w:before="180" w:after="180" w:line="360" w:lineRule="atLeast"/>
        <w:outlineLvl w:val="2"/>
        <w:rPr>
          <w:rFonts w:eastAsia="Times New Roman" w:cstheme="minorHAnsi"/>
          <w:color w:val="4A4A4A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D1A54" wp14:editId="7A27D16B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19875" cy="8820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820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B34" w:rsidRPr="00803D9B" w:rsidRDefault="00193B34" w:rsidP="00193B34">
                            <w:pPr>
                              <w:shd w:val="clear" w:color="auto" w:fill="F6F6F6"/>
                              <w:spacing w:after="180" w:line="360" w:lineRule="atLeast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1.3.1 Refer adults using a </w:t>
                            </w:r>
                            <w:hyperlink r:id="rId6" w:anchor="terms-used-in-this-guideline" w:tgtFrame="_top" w:history="1">
                              <w:r w:rsidRPr="00803D9B">
                                <w:rPr>
                                  <w:rFonts w:ascii="Arial" w:eastAsia="Times New Roman" w:hAnsi="Arial" w:cs="Arial"/>
                                  <w:color w:val="11779B"/>
                                  <w:sz w:val="24"/>
                                  <w:szCs w:val="24"/>
                                  <w:lang w:eastAsia="en-GB"/>
                                </w:rPr>
                                <w:t>suspected cancer pathway referral</w:t>
                              </w:r>
                            </w:hyperlink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(for an appointment within 2 weeks) for colorectal cancer if: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they are aged 40 and over with </w:t>
                            </w:r>
                            <w:hyperlink r:id="rId7" w:anchor="terms-used-in-this-guideline" w:tgtFrame="_top" w:history="1">
                              <w:r w:rsidRPr="00803D9B">
                                <w:rPr>
                                  <w:rFonts w:ascii="Arial" w:eastAsia="Times New Roman" w:hAnsi="Arial" w:cs="Arial"/>
                                  <w:color w:val="11779B"/>
                                  <w:sz w:val="24"/>
                                  <w:szCs w:val="24"/>
                                  <w:lang w:eastAsia="en-GB"/>
                                </w:rPr>
                                <w:t>unexplained</w:t>
                              </w:r>
                            </w:hyperlink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weight loss and abdominal pain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they are aged 50 and over with unexplained rectal bleeding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they are aged 60 and over with: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6F6F6"/>
                              <w:spacing w:after="180" w:line="360" w:lineRule="atLeast"/>
                              <w:ind w:left="132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iron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noBreakHyphen/>
                              <w:t xml:space="preserve">deficiency anaemia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6F6F6"/>
                              <w:spacing w:after="180" w:line="360" w:lineRule="atLeast"/>
                              <w:ind w:left="132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changes in their bowel habit,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tests</w:t>
                            </w:r>
                            <w:proofErr w:type="gramEnd"/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show occult blood in their faeces (see recommendation 1.3.4 for who should be offered a test for occult blood in faeces).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[new 2015]</w:t>
                            </w:r>
                          </w:p>
                          <w:p w:rsidR="00193B34" w:rsidRPr="00803D9B" w:rsidRDefault="00193B34" w:rsidP="00193B34">
                            <w:pPr>
                              <w:shd w:val="clear" w:color="auto" w:fill="F6F6F6"/>
                              <w:spacing w:after="180" w:line="360" w:lineRule="atLeast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1.3.2 Consider a suspected cancer pathway referral (for an appointment within 2 weeks) for colorectal cancer in adults with a rectal or abdominal mass.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[</w:t>
                            </w:r>
                            <w:proofErr w:type="gramStart"/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new</w:t>
                            </w:r>
                            <w:proofErr w:type="gramEnd"/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2015]</w:t>
                            </w:r>
                          </w:p>
                          <w:p w:rsidR="00193B34" w:rsidRPr="00803D9B" w:rsidRDefault="00193B34" w:rsidP="00193B34">
                            <w:pPr>
                              <w:shd w:val="clear" w:color="auto" w:fill="F6F6F6"/>
                              <w:spacing w:after="180" w:line="360" w:lineRule="atLeast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1.3.3 Consider a suspected cancer pathway referral (for an appointment within 2 weeks) for colorectal cancer in adults aged </w:t>
                            </w:r>
                            <w:proofErr w:type="gramStart"/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under</w:t>
                            </w:r>
                            <w:proofErr w:type="gramEnd"/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50 with rectal bleeding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and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any of the following unexplained symptoms or findings: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abdominal pain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change in bowel habit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weight loss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iron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noBreakHyphen/>
                              <w:t>deficiency</w:t>
                            </w:r>
                            <w:proofErr w:type="gramEnd"/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anaemia.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[new 2015] </w:t>
                            </w:r>
                          </w:p>
                          <w:p w:rsidR="00193B34" w:rsidRPr="00803D9B" w:rsidRDefault="00193B34" w:rsidP="00193B34">
                            <w:pPr>
                              <w:shd w:val="clear" w:color="auto" w:fill="F6F6F6"/>
                              <w:spacing w:after="180" w:line="360" w:lineRule="atLeast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1.3.4 Offer testing for occult blood in faeces to assess for colorectal cancer in adults without rectal bleeding who: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are aged 50 and over with unexplained: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1"/>
                                <w:numId w:val="3"/>
                              </w:numPr>
                              <w:shd w:val="clear" w:color="auto" w:fill="F6F6F6"/>
                              <w:spacing w:after="180" w:line="360" w:lineRule="atLeast"/>
                              <w:ind w:left="132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abdominal pain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1"/>
                                <w:numId w:val="3"/>
                              </w:numPr>
                              <w:shd w:val="clear" w:color="auto" w:fill="F6F6F6"/>
                              <w:spacing w:after="180" w:line="360" w:lineRule="atLeast"/>
                              <w:ind w:left="132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weight loss,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after="180"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are aged under 60 with:</w:t>
                            </w:r>
                          </w:p>
                          <w:p w:rsidR="00193B34" w:rsidRPr="00803D9B" w:rsidRDefault="00193B34" w:rsidP="00193B34">
                            <w:pPr>
                              <w:numPr>
                                <w:ilvl w:val="1"/>
                                <w:numId w:val="3"/>
                              </w:numPr>
                              <w:shd w:val="clear" w:color="auto" w:fill="F6F6F6"/>
                              <w:spacing w:after="180" w:line="360" w:lineRule="atLeast"/>
                              <w:ind w:left="132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changes in their bowel habit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</w:p>
                          <w:p w:rsidR="00193B34" w:rsidRPr="0049763E" w:rsidRDefault="00193B34" w:rsidP="00193B34">
                            <w:pPr>
                              <w:numPr>
                                <w:ilvl w:val="1"/>
                                <w:numId w:val="3"/>
                              </w:numPr>
                              <w:shd w:val="clear" w:color="auto" w:fill="F6F6F6"/>
                              <w:spacing w:after="180" w:line="360" w:lineRule="atLeast"/>
                              <w:ind w:left="132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iron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noBreakHyphen/>
                              <w:t xml:space="preserve">deficiency anaemia,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or</w:t>
                            </w:r>
                          </w:p>
                          <w:p w:rsidR="0049763E" w:rsidRPr="00033C26" w:rsidRDefault="0049763E" w:rsidP="0049763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033C26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are</w:t>
                            </w:r>
                            <w:proofErr w:type="gramEnd"/>
                            <w:r w:rsidRPr="00033C26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aged 60 and over and have anaemia even in the absence of iron deficiency. </w:t>
                            </w:r>
                            <w:r w:rsidRPr="00033C2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[new 2015]</w:t>
                            </w:r>
                          </w:p>
                          <w:p w:rsidR="0049763E" w:rsidRPr="00033C26" w:rsidRDefault="0049763E" w:rsidP="0049763E">
                            <w:pPr>
                              <w:numPr>
                                <w:ilvl w:val="1"/>
                                <w:numId w:val="3"/>
                              </w:numPr>
                              <w:shd w:val="clear" w:color="auto" w:fill="F6F6F6"/>
                              <w:spacing w:after="180" w:line="360" w:lineRule="atLeast"/>
                              <w:ind w:left="132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49763E" w:rsidRPr="00033C26" w:rsidRDefault="0049763E" w:rsidP="0049763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033C26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are</w:t>
                            </w:r>
                            <w:proofErr w:type="gramEnd"/>
                            <w:r w:rsidRPr="00033C26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aged 60 and over and have anaemia even in the absence of iron deficiency. </w:t>
                            </w:r>
                            <w:r w:rsidRPr="00033C2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[new 2015]</w:t>
                            </w:r>
                          </w:p>
                          <w:p w:rsidR="0049763E" w:rsidRPr="00803D9B" w:rsidRDefault="0049763E" w:rsidP="00193B34">
                            <w:pPr>
                              <w:numPr>
                                <w:ilvl w:val="1"/>
                                <w:numId w:val="3"/>
                              </w:numPr>
                              <w:shd w:val="clear" w:color="auto" w:fill="F6F6F6"/>
                              <w:spacing w:after="180" w:line="360" w:lineRule="atLeast"/>
                              <w:ind w:left="132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193B34" w:rsidRPr="00803D9B" w:rsidRDefault="00193B34" w:rsidP="00193B34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6F6F6"/>
                              <w:spacing w:line="360" w:lineRule="atLeast"/>
                              <w:ind w:left="840"/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are</w:t>
                            </w:r>
                            <w:proofErr w:type="gramEnd"/>
                            <w:r w:rsidRPr="00803D9B">
                              <w:rPr>
                                <w:rFonts w:ascii="Arial" w:eastAsia="Times New Roman" w:hAnsi="Arial" w:cs="Arial"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 xml:space="preserve"> aged 60 and over and have anaemia even in the absence of iron deficiency. </w:t>
                            </w:r>
                            <w:r w:rsidRPr="00803D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A4A4A"/>
                                <w:sz w:val="24"/>
                                <w:szCs w:val="24"/>
                                <w:lang w:eastAsia="en-GB"/>
                              </w:rPr>
                              <w:t>[new 2015]</w:t>
                            </w:r>
                          </w:p>
                          <w:p w:rsidR="00193B34" w:rsidRDefault="00193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pt;width:521.25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" fillcolor="#c6d9f1 [671]">
                <v:textbox>
                  <w:txbxContent>
                    <w:p w:rsidR="00193B34" w:rsidRPr="00803D9B" w:rsidRDefault="00193B34" w:rsidP="00193B34">
                      <w:pPr>
                        <w:shd w:val="clear" w:color="auto" w:fill="F6F6F6"/>
                        <w:spacing w:after="180" w:line="360" w:lineRule="atLeast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bookmarkStart w:id="1" w:name="_GoBack"/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1.3.1 Refer adults using a </w:t>
                      </w:r>
                      <w:hyperlink r:id="rId8" w:anchor="terms-used-in-this-guideline" w:tgtFrame="_top" w:history="1">
                        <w:r w:rsidRPr="00803D9B">
                          <w:rPr>
                            <w:rFonts w:ascii="Arial" w:eastAsia="Times New Roman" w:hAnsi="Arial" w:cs="Arial"/>
                            <w:color w:val="11779B"/>
                            <w:sz w:val="24"/>
                            <w:szCs w:val="24"/>
                            <w:lang w:eastAsia="en-GB"/>
                          </w:rPr>
                          <w:t>suspected cancer pathway referral</w:t>
                        </w:r>
                      </w:hyperlink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(for an appointment within 2 weeks) for colorectal cancer if: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1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they are aged 40 and over with </w:t>
                      </w:r>
                      <w:hyperlink r:id="rId9" w:anchor="terms-used-in-this-guideline" w:tgtFrame="_top" w:history="1">
                        <w:r w:rsidRPr="00803D9B">
                          <w:rPr>
                            <w:rFonts w:ascii="Arial" w:eastAsia="Times New Roman" w:hAnsi="Arial" w:cs="Arial"/>
                            <w:color w:val="11779B"/>
                            <w:sz w:val="24"/>
                            <w:szCs w:val="24"/>
                            <w:lang w:eastAsia="en-GB"/>
                          </w:rPr>
                          <w:t>unexplained</w:t>
                        </w:r>
                      </w:hyperlink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weight loss and abdominal pain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or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1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they are aged 50 and over with unexplained rectal bleeding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or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1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they are aged 60 and over with:</w:t>
                      </w:r>
                    </w:p>
                    <w:p w:rsidR="00193B34" w:rsidRPr="00803D9B" w:rsidRDefault="00193B34" w:rsidP="00193B34">
                      <w:pPr>
                        <w:numPr>
                          <w:ilvl w:val="1"/>
                          <w:numId w:val="1"/>
                        </w:numPr>
                        <w:shd w:val="clear" w:color="auto" w:fill="F6F6F6"/>
                        <w:spacing w:after="180" w:line="360" w:lineRule="atLeast"/>
                        <w:ind w:left="132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iron</w:t>
                      </w: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noBreakHyphen/>
                        <w:t xml:space="preserve">deficiency anaemia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or</w:t>
                      </w:r>
                    </w:p>
                    <w:p w:rsidR="00193B34" w:rsidRPr="00803D9B" w:rsidRDefault="00193B34" w:rsidP="00193B34">
                      <w:pPr>
                        <w:numPr>
                          <w:ilvl w:val="1"/>
                          <w:numId w:val="1"/>
                        </w:numPr>
                        <w:shd w:val="clear" w:color="auto" w:fill="F6F6F6"/>
                        <w:spacing w:after="180" w:line="360" w:lineRule="atLeast"/>
                        <w:ind w:left="132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changes in their bowel habit,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or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1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tests</w:t>
                      </w:r>
                      <w:proofErr w:type="gramEnd"/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show occult blood in their faeces (see recommendation 1.3.4 for who should be offered a test for occult blood in faeces).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[new 2015]</w:t>
                      </w:r>
                    </w:p>
                    <w:p w:rsidR="00193B34" w:rsidRPr="00803D9B" w:rsidRDefault="00193B34" w:rsidP="00193B34">
                      <w:pPr>
                        <w:shd w:val="clear" w:color="auto" w:fill="F6F6F6"/>
                        <w:spacing w:after="180" w:line="360" w:lineRule="atLeast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1.3.2 Consider a suspected cancer pathway referral (for an appointment within 2 weeks) for colorectal cancer in adults with a rectal or abdominal mass.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[</w:t>
                      </w:r>
                      <w:proofErr w:type="gramStart"/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new</w:t>
                      </w:r>
                      <w:proofErr w:type="gramEnd"/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2015]</w:t>
                      </w:r>
                    </w:p>
                    <w:p w:rsidR="00193B34" w:rsidRPr="00803D9B" w:rsidRDefault="00193B34" w:rsidP="00193B34">
                      <w:pPr>
                        <w:shd w:val="clear" w:color="auto" w:fill="F6F6F6"/>
                        <w:spacing w:after="180" w:line="360" w:lineRule="atLeast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1.3.3 Consider a suspected cancer pathway referral (for an appointment within 2 weeks) for colorectal cancer in adults aged </w:t>
                      </w:r>
                      <w:proofErr w:type="gramStart"/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under</w:t>
                      </w:r>
                      <w:proofErr w:type="gramEnd"/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50 with rectal bleeding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and</w:t>
                      </w: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any of the following unexplained symptoms or findings: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abdominal pain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change in bowel habit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weight loss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2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iron</w:t>
                      </w: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noBreakHyphen/>
                        <w:t>deficiency</w:t>
                      </w:r>
                      <w:proofErr w:type="gramEnd"/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anaemia.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[new 2015] </w:t>
                      </w:r>
                    </w:p>
                    <w:p w:rsidR="00193B34" w:rsidRPr="00803D9B" w:rsidRDefault="00193B34" w:rsidP="00193B34">
                      <w:pPr>
                        <w:shd w:val="clear" w:color="auto" w:fill="F6F6F6"/>
                        <w:spacing w:after="180" w:line="360" w:lineRule="atLeast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1.3.4 Offer testing for occult blood in faeces to assess for colorectal cancer in adults without rectal bleeding who: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are aged 50 and over with unexplained:</w:t>
                      </w:r>
                    </w:p>
                    <w:p w:rsidR="00193B34" w:rsidRPr="00803D9B" w:rsidRDefault="00193B34" w:rsidP="00193B34">
                      <w:pPr>
                        <w:numPr>
                          <w:ilvl w:val="1"/>
                          <w:numId w:val="3"/>
                        </w:numPr>
                        <w:shd w:val="clear" w:color="auto" w:fill="F6F6F6"/>
                        <w:spacing w:after="180" w:line="360" w:lineRule="atLeast"/>
                        <w:ind w:left="132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abdominal pain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or</w:t>
                      </w:r>
                    </w:p>
                    <w:p w:rsidR="00193B34" w:rsidRPr="00803D9B" w:rsidRDefault="00193B34" w:rsidP="00193B34">
                      <w:pPr>
                        <w:numPr>
                          <w:ilvl w:val="1"/>
                          <w:numId w:val="3"/>
                        </w:numPr>
                        <w:shd w:val="clear" w:color="auto" w:fill="F6F6F6"/>
                        <w:spacing w:after="180" w:line="360" w:lineRule="atLeast"/>
                        <w:ind w:left="132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weight loss,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or</w:t>
                      </w: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after="180"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are aged under 60 with:</w:t>
                      </w:r>
                    </w:p>
                    <w:p w:rsidR="00193B34" w:rsidRPr="00803D9B" w:rsidRDefault="00193B34" w:rsidP="00193B34">
                      <w:pPr>
                        <w:numPr>
                          <w:ilvl w:val="1"/>
                          <w:numId w:val="3"/>
                        </w:numPr>
                        <w:shd w:val="clear" w:color="auto" w:fill="F6F6F6"/>
                        <w:spacing w:after="180" w:line="360" w:lineRule="atLeast"/>
                        <w:ind w:left="132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changes in their bowel habit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or</w:t>
                      </w:r>
                    </w:p>
                    <w:p w:rsidR="00193B34" w:rsidRPr="0049763E" w:rsidRDefault="00193B34" w:rsidP="00193B34">
                      <w:pPr>
                        <w:numPr>
                          <w:ilvl w:val="1"/>
                          <w:numId w:val="3"/>
                        </w:numPr>
                        <w:shd w:val="clear" w:color="auto" w:fill="F6F6F6"/>
                        <w:spacing w:after="180" w:line="360" w:lineRule="atLeast"/>
                        <w:ind w:left="132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iron</w:t>
                      </w:r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noBreakHyphen/>
                        <w:t xml:space="preserve">deficiency anaemia,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or</w:t>
                      </w:r>
                    </w:p>
                    <w:p w:rsidR="0049763E" w:rsidRPr="00033C26" w:rsidRDefault="0049763E" w:rsidP="0049763E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033C26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are</w:t>
                      </w:r>
                      <w:proofErr w:type="gramEnd"/>
                      <w:r w:rsidRPr="00033C26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aged 60 and over and have anaemia even in the absence of iron deficiency. </w:t>
                      </w:r>
                      <w:r w:rsidRPr="00033C26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[new 2015]</w:t>
                      </w:r>
                    </w:p>
                    <w:p w:rsidR="0049763E" w:rsidRPr="00033C26" w:rsidRDefault="0049763E" w:rsidP="0049763E">
                      <w:pPr>
                        <w:numPr>
                          <w:ilvl w:val="1"/>
                          <w:numId w:val="3"/>
                        </w:numPr>
                        <w:shd w:val="clear" w:color="auto" w:fill="F6F6F6"/>
                        <w:spacing w:after="180" w:line="360" w:lineRule="atLeast"/>
                        <w:ind w:left="132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</w:p>
                    <w:p w:rsidR="0049763E" w:rsidRPr="00033C26" w:rsidRDefault="0049763E" w:rsidP="0049763E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033C26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are</w:t>
                      </w:r>
                      <w:proofErr w:type="gramEnd"/>
                      <w:r w:rsidRPr="00033C26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aged 60 and over and have anaemia even in the absence of iron deficiency. </w:t>
                      </w:r>
                      <w:r w:rsidRPr="00033C26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[new 2015]</w:t>
                      </w:r>
                    </w:p>
                    <w:p w:rsidR="0049763E" w:rsidRPr="00803D9B" w:rsidRDefault="0049763E" w:rsidP="00193B34">
                      <w:pPr>
                        <w:numPr>
                          <w:ilvl w:val="1"/>
                          <w:numId w:val="3"/>
                        </w:numPr>
                        <w:shd w:val="clear" w:color="auto" w:fill="F6F6F6"/>
                        <w:spacing w:after="180" w:line="360" w:lineRule="atLeast"/>
                        <w:ind w:left="132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</w:p>
                    <w:p w:rsidR="00193B34" w:rsidRPr="00803D9B" w:rsidRDefault="00193B34" w:rsidP="00193B34">
                      <w:pPr>
                        <w:numPr>
                          <w:ilvl w:val="0"/>
                          <w:numId w:val="3"/>
                        </w:numPr>
                        <w:shd w:val="clear" w:color="auto" w:fill="F6F6F6"/>
                        <w:spacing w:line="360" w:lineRule="atLeast"/>
                        <w:ind w:left="840"/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>are</w:t>
                      </w:r>
                      <w:proofErr w:type="gramEnd"/>
                      <w:r w:rsidRPr="00803D9B">
                        <w:rPr>
                          <w:rFonts w:ascii="Arial" w:eastAsia="Times New Roman" w:hAnsi="Arial" w:cs="Arial"/>
                          <w:color w:val="4A4A4A"/>
                          <w:sz w:val="24"/>
                          <w:szCs w:val="24"/>
                          <w:lang w:eastAsia="en-GB"/>
                        </w:rPr>
                        <w:t xml:space="preserve"> aged 60 and over and have anaemia even in the absence of iron deficiency. </w:t>
                      </w:r>
                      <w:r w:rsidRPr="00803D9B">
                        <w:rPr>
                          <w:rFonts w:ascii="Arial" w:eastAsia="Times New Roman" w:hAnsi="Arial" w:cs="Arial"/>
                          <w:b/>
                          <w:bCs/>
                          <w:color w:val="4A4A4A"/>
                          <w:sz w:val="24"/>
                          <w:szCs w:val="24"/>
                          <w:lang w:eastAsia="en-GB"/>
                        </w:rPr>
                        <w:t>[new 2015]</w:t>
                      </w:r>
                    </w:p>
                    <w:bookmarkEnd w:id="1"/>
                    <w:p w:rsidR="00193B34" w:rsidRDefault="00193B34"/>
                  </w:txbxContent>
                </v:textbox>
              </v:shape>
            </w:pict>
          </mc:Fallback>
        </mc:AlternateContent>
      </w:r>
      <w:r w:rsidR="00803D9B" w:rsidRPr="00193B34">
        <w:rPr>
          <w:rFonts w:eastAsia="Times New Roman" w:cstheme="minorHAnsi"/>
          <w:color w:val="4A4A4A"/>
          <w:sz w:val="24"/>
          <w:szCs w:val="24"/>
          <w:lang w:eastAsia="en-GB"/>
        </w:rPr>
        <w:t>We have updated the NBT straight to test ICE system in response to the new NICE Guidance. The NICE Guidance 1.3 for lower gastrointestinal tract cancers is shown below:</w:t>
      </w:r>
    </w:p>
    <w:p w:rsidR="00803D9B" w:rsidRDefault="00803D9B" w:rsidP="00033C26">
      <w:pPr>
        <w:shd w:val="clear" w:color="auto" w:fill="F6F6F6"/>
        <w:spacing w:after="180" w:line="360" w:lineRule="atLeast"/>
        <w:rPr>
          <w:rFonts w:ascii="inherit" w:eastAsia="Times New Roman" w:hAnsi="inherit" w:cs="Arial"/>
          <w:b/>
          <w:bCs/>
          <w:color w:val="4A4A4A"/>
          <w:sz w:val="27"/>
          <w:szCs w:val="27"/>
          <w:lang w:eastAsia="en-GB"/>
        </w:rPr>
      </w:pPr>
    </w:p>
    <w:p w:rsidR="00D34680" w:rsidRDefault="00D34680"/>
    <w:p w:rsidR="00D56014" w:rsidRDefault="00D56014"/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193B34" w:rsidRDefault="00193B34">
      <w:pPr>
        <w:rPr>
          <w:b/>
        </w:rPr>
      </w:pPr>
    </w:p>
    <w:p w:rsidR="0049763E" w:rsidRDefault="0049763E">
      <w:pPr>
        <w:rPr>
          <w:b/>
        </w:rPr>
      </w:pPr>
    </w:p>
    <w:p w:rsidR="0049763E" w:rsidRDefault="0049763E">
      <w:pPr>
        <w:rPr>
          <w:b/>
        </w:rPr>
      </w:pPr>
    </w:p>
    <w:p w:rsidR="0049763E" w:rsidRDefault="0049763E">
      <w:pPr>
        <w:rPr>
          <w:b/>
        </w:rPr>
      </w:pPr>
    </w:p>
    <w:p w:rsidR="00D56014" w:rsidRPr="00193B34" w:rsidRDefault="00D56014">
      <w:pPr>
        <w:rPr>
          <w:b/>
        </w:rPr>
      </w:pPr>
      <w:r w:rsidRPr="00193B34">
        <w:rPr>
          <w:b/>
        </w:rPr>
        <w:lastRenderedPageBreak/>
        <w:t>The new ICE pathway is based on the new NICE guidance</w:t>
      </w:r>
      <w:r w:rsidR="00D15E9B" w:rsidRPr="00193B34">
        <w:rPr>
          <w:b/>
        </w:rPr>
        <w:t xml:space="preserve"> shown above</w:t>
      </w:r>
    </w:p>
    <w:p w:rsidR="00D56014" w:rsidRPr="00193B34" w:rsidRDefault="00D15E9B">
      <w:r w:rsidRPr="00193B34">
        <w:t>There are many combinations of symptoms to consider now but in order to use ICE i</w:t>
      </w:r>
      <w:r w:rsidR="00D56014" w:rsidRPr="00193B34">
        <w:t xml:space="preserve">t is important that you </w:t>
      </w:r>
      <w:r w:rsidR="00D56014" w:rsidRPr="00193B34">
        <w:rPr>
          <w:b/>
        </w:rPr>
        <w:t>start with the main symptom as described in the guidance</w:t>
      </w:r>
      <w:r w:rsidRPr="00193B34">
        <w:t>. The choices available to you are:</w:t>
      </w:r>
    </w:p>
    <w:p w:rsidR="00D56014" w:rsidRPr="00193B34" w:rsidRDefault="00D56014" w:rsidP="00803D9B">
      <w:pPr>
        <w:pStyle w:val="ListParagraph"/>
        <w:numPr>
          <w:ilvl w:val="0"/>
          <w:numId w:val="4"/>
        </w:numPr>
      </w:pPr>
      <w:r w:rsidRPr="00193B34">
        <w:rPr>
          <w:b/>
        </w:rPr>
        <w:t>&gt;50 with unexplained rectal bleeding</w:t>
      </w:r>
      <w:r w:rsidRPr="00193B34">
        <w:t>-this test is on the</w:t>
      </w:r>
      <w:r w:rsidR="00803D9B" w:rsidRPr="00193B34">
        <w:t xml:space="preserve"> right side of the screen and we recommend</w:t>
      </w:r>
      <w:r w:rsidRPr="00193B34">
        <w:t xml:space="preserve"> a flexible sigmoidoscopy</w:t>
      </w:r>
    </w:p>
    <w:p w:rsidR="00D56014" w:rsidRPr="00193B34" w:rsidRDefault="00D56014" w:rsidP="00803D9B">
      <w:pPr>
        <w:pStyle w:val="ListParagraph"/>
        <w:numPr>
          <w:ilvl w:val="0"/>
          <w:numId w:val="4"/>
        </w:numPr>
      </w:pPr>
      <w:r w:rsidRPr="00193B34">
        <w:rPr>
          <w:b/>
        </w:rPr>
        <w:t>Abdomi</w:t>
      </w:r>
      <w:r w:rsidR="00803D9B" w:rsidRPr="00193B34">
        <w:rPr>
          <w:b/>
        </w:rPr>
        <w:t>nal or rectal mass</w:t>
      </w:r>
      <w:r w:rsidR="00803D9B" w:rsidRPr="00193B34">
        <w:t>-this test is on the right of the screen and is a symptom</w:t>
      </w:r>
      <w:r w:rsidRPr="00193B34">
        <w:t xml:space="preserve"> that still requires clinic referral via </w:t>
      </w:r>
      <w:r w:rsidR="00CD7CDF">
        <w:t xml:space="preserve">NHS </w:t>
      </w:r>
      <w:proofErr w:type="spellStart"/>
      <w:r w:rsidR="00CD7CDF">
        <w:t>eReferral</w:t>
      </w:r>
      <w:proofErr w:type="spellEnd"/>
      <w:r w:rsidR="00CD7CDF">
        <w:t>.</w:t>
      </w:r>
      <w:bookmarkStart w:id="0" w:name="_GoBack"/>
      <w:bookmarkEnd w:id="0"/>
    </w:p>
    <w:p w:rsidR="00D56014" w:rsidRPr="00193B34" w:rsidRDefault="00D56014">
      <w:r w:rsidRPr="00193B34">
        <w:t xml:space="preserve">For </w:t>
      </w:r>
      <w:r w:rsidR="00803D9B" w:rsidRPr="00193B34">
        <w:t xml:space="preserve">all other </w:t>
      </w:r>
      <w:proofErr w:type="gramStart"/>
      <w:r w:rsidR="00803D9B" w:rsidRPr="00193B34">
        <w:t>sympt</w:t>
      </w:r>
      <w:r w:rsidRPr="00193B34">
        <w:t>oms</w:t>
      </w:r>
      <w:proofErr w:type="gramEnd"/>
      <w:r w:rsidRPr="00193B34">
        <w:t xml:space="preserve"> the recommended test is either colonoscopy, CT colonoscopy or plain CT. All these options are </w:t>
      </w:r>
      <w:r w:rsidR="00803D9B" w:rsidRPr="00193B34">
        <w:t xml:space="preserve">now </w:t>
      </w:r>
      <w:r w:rsidRPr="00193B34">
        <w:t>available</w:t>
      </w:r>
      <w:r w:rsidR="00803D9B" w:rsidRPr="00193B34">
        <w:t xml:space="preserve"> to you to book directly.</w:t>
      </w:r>
    </w:p>
    <w:p w:rsidR="00D56014" w:rsidRPr="00193B34" w:rsidRDefault="00D56014">
      <w:r w:rsidRPr="00193B34">
        <w:t>The three main options are:</w:t>
      </w:r>
      <w:r w:rsidRPr="00193B34">
        <w:tab/>
      </w:r>
    </w:p>
    <w:p w:rsidR="00D56014" w:rsidRPr="00193B34" w:rsidRDefault="00D56014" w:rsidP="00803D9B">
      <w:pPr>
        <w:pStyle w:val="ListParagraph"/>
        <w:numPr>
          <w:ilvl w:val="0"/>
          <w:numId w:val="5"/>
        </w:numPr>
        <w:rPr>
          <w:b/>
        </w:rPr>
      </w:pPr>
      <w:r w:rsidRPr="00193B34">
        <w:rPr>
          <w:b/>
        </w:rPr>
        <w:t>&gt;40 with unexplained weight loss and abdominal pain</w:t>
      </w:r>
    </w:p>
    <w:p w:rsidR="00D56014" w:rsidRPr="00193B34" w:rsidRDefault="00D56014" w:rsidP="00803D9B">
      <w:pPr>
        <w:pStyle w:val="ListParagraph"/>
        <w:numPr>
          <w:ilvl w:val="0"/>
          <w:numId w:val="5"/>
        </w:numPr>
        <w:rPr>
          <w:b/>
        </w:rPr>
      </w:pPr>
      <w:r w:rsidRPr="00193B34">
        <w:rPr>
          <w:b/>
        </w:rPr>
        <w:t>Iron deficiency anaemia</w:t>
      </w:r>
      <w:r w:rsidR="00D15E9B" w:rsidRPr="00193B34">
        <w:rPr>
          <w:b/>
        </w:rPr>
        <w:t xml:space="preserve"> (IDA) </w:t>
      </w:r>
      <w:r w:rsidR="00803D9B" w:rsidRPr="00193B34">
        <w:rPr>
          <w:b/>
        </w:rPr>
        <w:t>or non-</w:t>
      </w:r>
      <w:r w:rsidR="00D15E9B" w:rsidRPr="00193B34">
        <w:rPr>
          <w:b/>
        </w:rPr>
        <w:t xml:space="preserve"> iron deficient anaemia</w:t>
      </w:r>
      <w:r w:rsidRPr="00193B34">
        <w:rPr>
          <w:b/>
        </w:rPr>
        <w:t xml:space="preserve"> &gt;60</w:t>
      </w:r>
    </w:p>
    <w:p w:rsidR="00D15E9B" w:rsidRPr="00193B34" w:rsidRDefault="00803D9B" w:rsidP="00193B34">
      <w:pPr>
        <w:pStyle w:val="ListParagraph"/>
        <w:numPr>
          <w:ilvl w:val="0"/>
          <w:numId w:val="5"/>
        </w:numPr>
        <w:rPr>
          <w:b/>
        </w:rPr>
      </w:pPr>
      <w:r w:rsidRPr="00193B34">
        <w:rPr>
          <w:b/>
        </w:rPr>
        <w:t>Change in bowel habi</w:t>
      </w:r>
      <w:r w:rsidR="00D15E9B" w:rsidRPr="00193B34">
        <w:rPr>
          <w:b/>
        </w:rPr>
        <w:t>t &gt;60</w:t>
      </w:r>
    </w:p>
    <w:p w:rsidR="00D15E9B" w:rsidRPr="00193B34" w:rsidRDefault="00D15E9B">
      <w:r w:rsidRPr="00193B34">
        <w:t>The next 2 sym</w:t>
      </w:r>
      <w:r w:rsidR="00803D9B" w:rsidRPr="00193B34">
        <w:t>p</w:t>
      </w:r>
      <w:r w:rsidRPr="00193B34">
        <w:t>tom complexes require more than one symptom to be present and have age rules attached</w:t>
      </w:r>
    </w:p>
    <w:p w:rsidR="00D15E9B" w:rsidRPr="00193B34" w:rsidRDefault="00D15E9B">
      <w:r w:rsidRPr="00193B34">
        <w:t>The 2 main choices are</w:t>
      </w:r>
      <w:r w:rsidR="00803D9B" w:rsidRPr="00193B34">
        <w:t>:</w:t>
      </w:r>
    </w:p>
    <w:p w:rsidR="00D15E9B" w:rsidRPr="00193B34" w:rsidRDefault="00D15E9B" w:rsidP="00803D9B">
      <w:pPr>
        <w:pStyle w:val="ListParagraph"/>
        <w:numPr>
          <w:ilvl w:val="0"/>
          <w:numId w:val="6"/>
        </w:numPr>
        <w:rPr>
          <w:b/>
        </w:rPr>
      </w:pPr>
      <w:r w:rsidRPr="00193B34">
        <w:rPr>
          <w:b/>
        </w:rPr>
        <w:t xml:space="preserve">Rectal bleeding &lt;50 </w:t>
      </w:r>
      <w:r w:rsidR="00803D9B" w:rsidRPr="00193B34">
        <w:rPr>
          <w:b/>
        </w:rPr>
        <w:t>plus another symptom</w:t>
      </w:r>
    </w:p>
    <w:p w:rsidR="00D15E9B" w:rsidRPr="00193B34" w:rsidRDefault="00D15E9B" w:rsidP="00803D9B">
      <w:pPr>
        <w:pStyle w:val="ListParagraph"/>
      </w:pPr>
      <w:r w:rsidRPr="00193B34">
        <w:t>Or</w:t>
      </w:r>
    </w:p>
    <w:p w:rsidR="00803D9B" w:rsidRPr="00193B34" w:rsidRDefault="00D15E9B" w:rsidP="00193B34">
      <w:pPr>
        <w:pStyle w:val="ListParagraph"/>
        <w:numPr>
          <w:ilvl w:val="0"/>
          <w:numId w:val="6"/>
        </w:numPr>
        <w:rPr>
          <w:b/>
        </w:rPr>
      </w:pPr>
      <w:r w:rsidRPr="00193B34">
        <w:rPr>
          <w:b/>
        </w:rPr>
        <w:t>Positive FOB plus a</w:t>
      </w:r>
      <w:r w:rsidR="00193B34">
        <w:rPr>
          <w:b/>
        </w:rPr>
        <w:t>nother</w:t>
      </w:r>
      <w:r w:rsidRPr="00193B34">
        <w:rPr>
          <w:b/>
        </w:rPr>
        <w:t xml:space="preserve"> symptom</w:t>
      </w:r>
    </w:p>
    <w:p w:rsidR="00D15E9B" w:rsidRPr="00193B34" w:rsidRDefault="00D15E9B">
      <w:r w:rsidRPr="00193B34">
        <w:t xml:space="preserve">If you tick one of these options you will then be asked if your patient fulfils </w:t>
      </w:r>
      <w:r w:rsidR="00803D9B" w:rsidRPr="00193B34">
        <w:t>the addition cr</w:t>
      </w:r>
      <w:r w:rsidRPr="00193B34">
        <w:t>iteria as shown below. If your patient does not fulfil the criteria please refer as a non 2 week wait</w:t>
      </w:r>
    </w:p>
    <w:p w:rsidR="00D15E9B" w:rsidRPr="00193B34" w:rsidRDefault="00D15E9B" w:rsidP="00803D9B">
      <w:pPr>
        <w:pStyle w:val="ListParagraph"/>
        <w:numPr>
          <w:ilvl w:val="0"/>
          <w:numId w:val="6"/>
        </w:numPr>
        <w:rPr>
          <w:b/>
        </w:rPr>
      </w:pPr>
      <w:r w:rsidRPr="00193B34">
        <w:rPr>
          <w:b/>
        </w:rPr>
        <w:t>Rectal bleeding &lt;50</w:t>
      </w:r>
    </w:p>
    <w:p w:rsidR="00D15E9B" w:rsidRPr="00193B34" w:rsidRDefault="00D15E9B" w:rsidP="00803D9B">
      <w:pPr>
        <w:pStyle w:val="ListParagraph"/>
      </w:pPr>
      <w:r w:rsidRPr="00193B34">
        <w:t>Plus</w:t>
      </w:r>
    </w:p>
    <w:p w:rsidR="00D15E9B" w:rsidRPr="00193B34" w:rsidRDefault="00D15E9B" w:rsidP="00803D9B">
      <w:pPr>
        <w:pStyle w:val="ListParagraph"/>
        <w:numPr>
          <w:ilvl w:val="1"/>
          <w:numId w:val="6"/>
        </w:numPr>
      </w:pPr>
      <w:r w:rsidRPr="00193B34">
        <w:t>Abdominal pain</w:t>
      </w:r>
    </w:p>
    <w:p w:rsidR="00D15E9B" w:rsidRPr="00193B34" w:rsidRDefault="00D15E9B" w:rsidP="00803D9B">
      <w:pPr>
        <w:pStyle w:val="ListParagraph"/>
        <w:numPr>
          <w:ilvl w:val="1"/>
          <w:numId w:val="6"/>
        </w:numPr>
      </w:pPr>
      <w:r w:rsidRPr="00193B34">
        <w:t>CIBH</w:t>
      </w:r>
    </w:p>
    <w:p w:rsidR="00D15E9B" w:rsidRPr="00193B34" w:rsidRDefault="00D15E9B" w:rsidP="00803D9B">
      <w:pPr>
        <w:pStyle w:val="ListParagraph"/>
        <w:numPr>
          <w:ilvl w:val="1"/>
          <w:numId w:val="6"/>
        </w:numPr>
      </w:pPr>
      <w:r w:rsidRPr="00193B34">
        <w:t>Weight loss</w:t>
      </w:r>
    </w:p>
    <w:p w:rsidR="00D15E9B" w:rsidRPr="00193B34" w:rsidRDefault="00D15E9B" w:rsidP="00803D9B">
      <w:pPr>
        <w:pStyle w:val="ListParagraph"/>
        <w:numPr>
          <w:ilvl w:val="1"/>
          <w:numId w:val="6"/>
        </w:numPr>
      </w:pPr>
      <w:r w:rsidRPr="00193B34">
        <w:t>IDA</w:t>
      </w:r>
    </w:p>
    <w:p w:rsidR="00803D9B" w:rsidRPr="00193B34" w:rsidRDefault="00803D9B" w:rsidP="00803D9B">
      <w:pPr>
        <w:pStyle w:val="ListParagraph"/>
        <w:ind w:left="1440"/>
      </w:pPr>
    </w:p>
    <w:p w:rsidR="00D15E9B" w:rsidRPr="00193B34" w:rsidRDefault="00D15E9B" w:rsidP="00803D9B">
      <w:pPr>
        <w:pStyle w:val="ListParagraph"/>
        <w:numPr>
          <w:ilvl w:val="0"/>
          <w:numId w:val="6"/>
        </w:numPr>
        <w:rPr>
          <w:b/>
        </w:rPr>
      </w:pPr>
      <w:r w:rsidRPr="00193B34">
        <w:rPr>
          <w:b/>
        </w:rPr>
        <w:t>Abdominal pain</w:t>
      </w:r>
    </w:p>
    <w:p w:rsidR="00D15E9B" w:rsidRPr="00193B34" w:rsidRDefault="00193B34" w:rsidP="00803D9B">
      <w:pPr>
        <w:ind w:firstLine="720"/>
      </w:pPr>
      <w:r>
        <w:t>P</w:t>
      </w:r>
      <w:r w:rsidR="00D15E9B" w:rsidRPr="00193B34">
        <w:t>lus</w:t>
      </w:r>
    </w:p>
    <w:p w:rsidR="00D56014" w:rsidRPr="00193B34" w:rsidRDefault="00D15E9B" w:rsidP="00803D9B">
      <w:pPr>
        <w:pStyle w:val="ListParagraph"/>
        <w:numPr>
          <w:ilvl w:val="1"/>
          <w:numId w:val="6"/>
        </w:numPr>
      </w:pPr>
      <w:r w:rsidRPr="00193B34">
        <w:t>abdominal pain &gt;50</w:t>
      </w:r>
    </w:p>
    <w:p w:rsidR="00803D9B" w:rsidRPr="00193B34" w:rsidRDefault="00D15E9B" w:rsidP="00803D9B">
      <w:pPr>
        <w:pStyle w:val="ListParagraph"/>
        <w:numPr>
          <w:ilvl w:val="1"/>
          <w:numId w:val="6"/>
        </w:numPr>
      </w:pPr>
      <w:r w:rsidRPr="00193B34">
        <w:t>weight loss&gt;50</w:t>
      </w:r>
    </w:p>
    <w:p w:rsidR="00D15E9B" w:rsidRPr="00193B34" w:rsidRDefault="00D15E9B" w:rsidP="00803D9B">
      <w:pPr>
        <w:pStyle w:val="ListParagraph"/>
        <w:numPr>
          <w:ilvl w:val="1"/>
          <w:numId w:val="6"/>
        </w:numPr>
      </w:pPr>
      <w:r w:rsidRPr="00193B34">
        <w:t>CIBH &lt;60</w:t>
      </w:r>
    </w:p>
    <w:p w:rsidR="00D15E9B" w:rsidRPr="00193B34" w:rsidRDefault="00D15E9B" w:rsidP="00803D9B">
      <w:pPr>
        <w:pStyle w:val="ListParagraph"/>
        <w:numPr>
          <w:ilvl w:val="1"/>
          <w:numId w:val="6"/>
        </w:numPr>
      </w:pPr>
      <w:r w:rsidRPr="00193B34">
        <w:t>IDA&lt;60</w:t>
      </w:r>
    </w:p>
    <w:p w:rsidR="00D56014" w:rsidRPr="00193B34" w:rsidRDefault="00D56014"/>
    <w:p w:rsidR="00A4570E" w:rsidRPr="00193B34" w:rsidRDefault="00A4570E">
      <w:r w:rsidRPr="00193B34">
        <w:t xml:space="preserve">If your patient is found to have a polyp on CTC that is low risk of cancer </w:t>
      </w:r>
      <w:proofErr w:type="spellStart"/>
      <w:r w:rsidRPr="00193B34">
        <w:t>ie</w:t>
      </w:r>
      <w:proofErr w:type="spellEnd"/>
      <w:r w:rsidRPr="00193B34">
        <w:t xml:space="preserve"> less than 1 cm, there is also a tab where you can book them a colonoscopy or flexible </w:t>
      </w:r>
      <w:proofErr w:type="gramStart"/>
      <w:r w:rsidRPr="00193B34">
        <w:t>sigmoidoscopy  to</w:t>
      </w:r>
      <w:proofErr w:type="gramEnd"/>
      <w:r w:rsidRPr="00193B34">
        <w:t xml:space="preserve"> remove the polyp. This is a new tab on the left hand side. If you are unsure whether the patient is fit for a test please refer them to clinic to discuss it.  </w:t>
      </w:r>
    </w:p>
    <w:p w:rsidR="00A4570E" w:rsidRPr="00193B34" w:rsidRDefault="00A4570E"/>
    <w:p w:rsidR="00A4570E" w:rsidRPr="00193B34" w:rsidRDefault="00A4570E">
      <w:r w:rsidRPr="00193B34">
        <w:t xml:space="preserve">Any queries, please contact </w:t>
      </w:r>
      <w:hyperlink r:id="rId10" w:history="1">
        <w:r w:rsidRPr="00193B34">
          <w:rPr>
            <w:rStyle w:val="Hyperlink"/>
          </w:rPr>
          <w:t>Anne.pullyblank@nbt.nhs.uk</w:t>
        </w:r>
      </w:hyperlink>
      <w:r w:rsidRPr="00193B34">
        <w:t xml:space="preserve">; </w:t>
      </w:r>
      <w:hyperlink r:id="rId11" w:history="1">
        <w:r w:rsidRPr="00193B34">
          <w:rPr>
            <w:rStyle w:val="Hyperlink"/>
          </w:rPr>
          <w:t>stephenroberts2@nbt.nhs.uk</w:t>
        </w:r>
      </w:hyperlink>
      <w:r w:rsidRPr="00193B34">
        <w:t xml:space="preserve"> </w:t>
      </w:r>
    </w:p>
    <w:p w:rsidR="00A4570E" w:rsidRPr="00193B34" w:rsidRDefault="00A4570E"/>
    <w:p w:rsidR="00A4570E" w:rsidRPr="00193B34" w:rsidRDefault="00A4570E">
      <w:r w:rsidRPr="00193B34">
        <w:t>Sept 2016</w:t>
      </w:r>
    </w:p>
    <w:sectPr w:rsidR="00A4570E" w:rsidRPr="00193B34" w:rsidSect="00497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9B4"/>
    <w:multiLevelType w:val="multilevel"/>
    <w:tmpl w:val="BE5E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054B6"/>
    <w:multiLevelType w:val="hybridMultilevel"/>
    <w:tmpl w:val="3FC4A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F1556"/>
    <w:multiLevelType w:val="multilevel"/>
    <w:tmpl w:val="7880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66CD6"/>
    <w:multiLevelType w:val="hybridMultilevel"/>
    <w:tmpl w:val="55E4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601AB"/>
    <w:multiLevelType w:val="multilevel"/>
    <w:tmpl w:val="4946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81C8E"/>
    <w:multiLevelType w:val="hybridMultilevel"/>
    <w:tmpl w:val="56DE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26"/>
    <w:rsid w:val="00033C26"/>
    <w:rsid w:val="00040A9E"/>
    <w:rsid w:val="00193B34"/>
    <w:rsid w:val="0049763E"/>
    <w:rsid w:val="00803D9B"/>
    <w:rsid w:val="00A4570E"/>
    <w:rsid w:val="00CD7CDF"/>
    <w:rsid w:val="00D15E9B"/>
    <w:rsid w:val="00D34680"/>
    <w:rsid w:val="00D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3C26"/>
    <w:pPr>
      <w:spacing w:before="180" w:after="180" w:line="360" w:lineRule="atLeast"/>
      <w:outlineLvl w:val="2"/>
    </w:pPr>
    <w:rPr>
      <w:rFonts w:ascii="inherit" w:eastAsia="Times New Roman" w:hAnsi="inherit" w:cs="Times New Roman"/>
      <w:color w:val="4A4A4A"/>
      <w:sz w:val="33"/>
      <w:szCs w:val="33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3C26"/>
    <w:pPr>
      <w:spacing w:before="180" w:after="180" w:line="360" w:lineRule="atLeast"/>
      <w:outlineLvl w:val="3"/>
    </w:pPr>
    <w:rPr>
      <w:rFonts w:ascii="inherit" w:eastAsia="Times New Roman" w:hAnsi="inherit" w:cs="Times New Roman"/>
      <w:b/>
      <w:bCs/>
      <w:color w:val="4A4A4A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3C26"/>
    <w:rPr>
      <w:rFonts w:ascii="inherit" w:eastAsia="Times New Roman" w:hAnsi="inherit" w:cs="Times New Roman"/>
      <w:color w:val="4A4A4A"/>
      <w:sz w:val="33"/>
      <w:szCs w:val="33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3C26"/>
    <w:rPr>
      <w:rFonts w:ascii="inherit" w:eastAsia="Times New Roman" w:hAnsi="inherit" w:cs="Times New Roman"/>
      <w:b/>
      <w:bCs/>
      <w:color w:val="4A4A4A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033C26"/>
    <w:rPr>
      <w:strike w:val="0"/>
      <w:dstrike w:val="0"/>
      <w:color w:val="11779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33C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3C2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ed-paragraph">
    <w:name w:val="numbered-paragraph"/>
    <w:basedOn w:val="Normal"/>
    <w:rsid w:val="00033C2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033C26"/>
  </w:style>
  <w:style w:type="paragraph" w:styleId="ListParagraph">
    <w:name w:val="List Paragraph"/>
    <w:basedOn w:val="Normal"/>
    <w:uiPriority w:val="34"/>
    <w:qFormat/>
    <w:rsid w:val="00803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3C26"/>
    <w:pPr>
      <w:spacing w:before="180" w:after="180" w:line="360" w:lineRule="atLeast"/>
      <w:outlineLvl w:val="2"/>
    </w:pPr>
    <w:rPr>
      <w:rFonts w:ascii="inherit" w:eastAsia="Times New Roman" w:hAnsi="inherit" w:cs="Times New Roman"/>
      <w:color w:val="4A4A4A"/>
      <w:sz w:val="33"/>
      <w:szCs w:val="33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33C26"/>
    <w:pPr>
      <w:spacing w:before="180" w:after="180" w:line="360" w:lineRule="atLeast"/>
      <w:outlineLvl w:val="3"/>
    </w:pPr>
    <w:rPr>
      <w:rFonts w:ascii="inherit" w:eastAsia="Times New Roman" w:hAnsi="inherit" w:cs="Times New Roman"/>
      <w:b/>
      <w:bCs/>
      <w:color w:val="4A4A4A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3C26"/>
    <w:rPr>
      <w:rFonts w:ascii="inherit" w:eastAsia="Times New Roman" w:hAnsi="inherit" w:cs="Times New Roman"/>
      <w:color w:val="4A4A4A"/>
      <w:sz w:val="33"/>
      <w:szCs w:val="33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33C26"/>
    <w:rPr>
      <w:rFonts w:ascii="inherit" w:eastAsia="Times New Roman" w:hAnsi="inherit" w:cs="Times New Roman"/>
      <w:b/>
      <w:bCs/>
      <w:color w:val="4A4A4A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033C26"/>
    <w:rPr>
      <w:strike w:val="0"/>
      <w:dstrike w:val="0"/>
      <w:color w:val="11779B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33C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3C2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ed-paragraph">
    <w:name w:val="numbered-paragraph"/>
    <w:basedOn w:val="Normal"/>
    <w:rsid w:val="00033C2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033C26"/>
  </w:style>
  <w:style w:type="paragraph" w:styleId="ListParagraph">
    <w:name w:val="List Paragraph"/>
    <w:basedOn w:val="Normal"/>
    <w:uiPriority w:val="34"/>
    <w:qFormat/>
    <w:rsid w:val="00803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9360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512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3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18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7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2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2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9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80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12/chapter/terms-used-in-this-guidelin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nice.org.uk/guidance/NG12/chapter/terms-used-in-this-guideli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ce.org.uk/guidance/NG12/chapter/terms-used-in-this-guideline" TargetMode="External"/><Relationship Id="rId11" Type="http://schemas.openxmlformats.org/officeDocument/2006/relationships/hyperlink" Target="mailto:stephenroberts2@nbt.nhs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e.pullyblank@nb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12/chapter/terms-used-in-this-guide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Pullyblank</dc:creator>
  <cp:lastModifiedBy>Jessica Knott</cp:lastModifiedBy>
  <cp:revision>3</cp:revision>
  <dcterms:created xsi:type="dcterms:W3CDTF">2017-07-10T11:55:00Z</dcterms:created>
  <dcterms:modified xsi:type="dcterms:W3CDTF">2017-07-10T12:25:00Z</dcterms:modified>
</cp:coreProperties>
</file>