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086" w:rsidRPr="003C41A8" w:rsidRDefault="00C91086" w:rsidP="00C91086">
      <w:pPr>
        <w:spacing w:before="0" w:after="0"/>
        <w:jc w:val="center"/>
        <w:outlineLvl w:val="0"/>
        <w:rPr>
          <w:b/>
          <w:sz w:val="24"/>
          <w:szCs w:val="24"/>
        </w:rPr>
      </w:pPr>
      <w:r w:rsidRPr="003C41A8">
        <w:rPr>
          <w:b/>
          <w:sz w:val="24"/>
          <w:szCs w:val="24"/>
        </w:rPr>
        <w:t>Minutes of the</w:t>
      </w:r>
      <w:r>
        <w:rPr>
          <w:b/>
          <w:sz w:val="24"/>
          <w:szCs w:val="24"/>
        </w:rPr>
        <w:t xml:space="preserve"> Public </w:t>
      </w:r>
      <w:r w:rsidRPr="003C41A8">
        <w:rPr>
          <w:b/>
          <w:sz w:val="24"/>
          <w:szCs w:val="24"/>
        </w:rPr>
        <w:t xml:space="preserve">Trust Board Meeting held on </w:t>
      </w:r>
    </w:p>
    <w:p w:rsidR="00C91086" w:rsidRPr="003C41A8" w:rsidRDefault="00C91086" w:rsidP="00C91086">
      <w:pPr>
        <w:spacing w:before="0" w:after="0"/>
        <w:jc w:val="center"/>
        <w:outlineLvl w:val="0"/>
        <w:rPr>
          <w:b/>
          <w:sz w:val="24"/>
          <w:szCs w:val="24"/>
        </w:rPr>
      </w:pPr>
      <w:r w:rsidRPr="003C41A8">
        <w:rPr>
          <w:b/>
          <w:sz w:val="24"/>
          <w:szCs w:val="24"/>
        </w:rPr>
        <w:t xml:space="preserve">Thursday </w:t>
      </w:r>
      <w:r w:rsidR="002A2D1F">
        <w:rPr>
          <w:b/>
          <w:sz w:val="24"/>
          <w:szCs w:val="24"/>
        </w:rPr>
        <w:t>24 September</w:t>
      </w:r>
      <w:r w:rsidR="00B5378B">
        <w:rPr>
          <w:b/>
          <w:sz w:val="24"/>
          <w:szCs w:val="24"/>
        </w:rPr>
        <w:t xml:space="preserve"> </w:t>
      </w:r>
      <w:r w:rsidR="00A6066F">
        <w:rPr>
          <w:b/>
          <w:sz w:val="24"/>
          <w:szCs w:val="24"/>
        </w:rPr>
        <w:t>2020</w:t>
      </w:r>
      <w:r>
        <w:rPr>
          <w:b/>
          <w:sz w:val="24"/>
          <w:szCs w:val="24"/>
        </w:rPr>
        <w:t xml:space="preserve"> </w:t>
      </w:r>
      <w:r w:rsidRPr="003C41A8">
        <w:rPr>
          <w:b/>
          <w:sz w:val="24"/>
          <w:szCs w:val="24"/>
        </w:rPr>
        <w:t xml:space="preserve">at </w:t>
      </w:r>
      <w:r>
        <w:rPr>
          <w:b/>
          <w:sz w:val="24"/>
          <w:szCs w:val="24"/>
        </w:rPr>
        <w:t>10</w:t>
      </w:r>
      <w:r w:rsidRPr="003C41A8">
        <w:rPr>
          <w:b/>
          <w:sz w:val="24"/>
          <w:szCs w:val="24"/>
        </w:rPr>
        <w:t>.</w:t>
      </w:r>
      <w:r w:rsidR="0040169F">
        <w:rPr>
          <w:b/>
          <w:sz w:val="24"/>
          <w:szCs w:val="24"/>
        </w:rPr>
        <w:t>00</w:t>
      </w:r>
      <w:r>
        <w:rPr>
          <w:b/>
          <w:sz w:val="24"/>
          <w:szCs w:val="24"/>
        </w:rPr>
        <w:t>a</w:t>
      </w:r>
      <w:r w:rsidRPr="003C41A8">
        <w:rPr>
          <w:b/>
          <w:sz w:val="24"/>
          <w:szCs w:val="24"/>
        </w:rPr>
        <w:t xml:space="preserve">m </w:t>
      </w:r>
    </w:p>
    <w:p w:rsidR="00C91086" w:rsidRDefault="005A5F70" w:rsidP="00C91086">
      <w:pPr>
        <w:spacing w:before="0" w:after="0"/>
        <w:jc w:val="center"/>
        <w:outlineLvl w:val="0"/>
        <w:rPr>
          <w:b/>
          <w:sz w:val="24"/>
          <w:szCs w:val="24"/>
        </w:rPr>
      </w:pPr>
      <w:r>
        <w:rPr>
          <w:b/>
          <w:sz w:val="24"/>
          <w:szCs w:val="24"/>
        </w:rPr>
        <w:t>Nightingale Hospital Bristol and v</w:t>
      </w:r>
      <w:r w:rsidR="0040169F">
        <w:rPr>
          <w:b/>
          <w:sz w:val="24"/>
          <w:szCs w:val="24"/>
        </w:rPr>
        <w:t>irtual</w:t>
      </w:r>
      <w:r>
        <w:rPr>
          <w:b/>
          <w:sz w:val="24"/>
          <w:szCs w:val="24"/>
        </w:rPr>
        <w:t>ly</w:t>
      </w:r>
      <w:r w:rsidR="0040169F">
        <w:rPr>
          <w:b/>
          <w:sz w:val="24"/>
          <w:szCs w:val="24"/>
        </w:rPr>
        <w:t xml:space="preserve"> </w:t>
      </w:r>
      <w:r>
        <w:rPr>
          <w:b/>
          <w:sz w:val="24"/>
          <w:szCs w:val="24"/>
        </w:rPr>
        <w:t>v</w:t>
      </w:r>
      <w:r w:rsidR="0040169F">
        <w:rPr>
          <w:b/>
          <w:sz w:val="24"/>
          <w:szCs w:val="24"/>
        </w:rPr>
        <w:t>ia Microsoft Teams</w:t>
      </w:r>
    </w:p>
    <w:p w:rsidR="00347D80" w:rsidRDefault="00347D80" w:rsidP="00C91086">
      <w:pPr>
        <w:spacing w:before="0" w:after="0"/>
        <w:jc w:val="center"/>
        <w:outlineLvl w:val="0"/>
        <w:rPr>
          <w:b/>
          <w:sz w:val="24"/>
          <w:szCs w:val="24"/>
        </w:rPr>
      </w:pPr>
    </w:p>
    <w:tbl>
      <w:tblPr>
        <w:tblW w:w="10774" w:type="dxa"/>
        <w:tblInd w:w="-743" w:type="dxa"/>
        <w:tblBorders>
          <w:insideH w:val="single" w:sz="4" w:space="0" w:color="auto"/>
          <w:insideV w:val="single" w:sz="4" w:space="0" w:color="auto"/>
        </w:tblBorders>
        <w:tblLayout w:type="fixed"/>
        <w:tblLook w:val="04A0" w:firstRow="1" w:lastRow="0" w:firstColumn="1" w:lastColumn="0" w:noHBand="0" w:noVBand="1"/>
      </w:tblPr>
      <w:tblGrid>
        <w:gridCol w:w="425"/>
        <w:gridCol w:w="1702"/>
        <w:gridCol w:w="425"/>
        <w:gridCol w:w="3119"/>
        <w:gridCol w:w="1984"/>
        <w:gridCol w:w="1701"/>
        <w:gridCol w:w="1134"/>
        <w:gridCol w:w="284"/>
      </w:tblGrid>
      <w:tr w:rsidR="002F1276" w:rsidRPr="00C91086" w:rsidTr="002F1276">
        <w:tc>
          <w:tcPr>
            <w:tcW w:w="10774" w:type="dxa"/>
            <w:gridSpan w:val="8"/>
            <w:tcBorders>
              <w:top w:val="nil"/>
              <w:left w:val="nil"/>
              <w:bottom w:val="nil"/>
              <w:right w:val="nil"/>
            </w:tcBorders>
            <w:shd w:val="clear" w:color="auto" w:fill="auto"/>
          </w:tcPr>
          <w:p w:rsidR="002F1276" w:rsidRPr="00C91086" w:rsidRDefault="002F1276" w:rsidP="002F1276">
            <w:pPr>
              <w:spacing w:before="0" w:after="0"/>
              <w:rPr>
                <w:b/>
                <w:lang w:eastAsia="en-GB"/>
              </w:rPr>
            </w:pPr>
            <w:r w:rsidRPr="00C91086">
              <w:rPr>
                <w:b/>
                <w:lang w:eastAsia="en-GB"/>
              </w:rPr>
              <w:t>Present:</w:t>
            </w:r>
          </w:p>
        </w:tc>
      </w:tr>
      <w:tr w:rsidR="00C91086" w:rsidRPr="00C91086" w:rsidTr="002F1276">
        <w:trPr>
          <w:trHeight w:val="501"/>
        </w:trPr>
        <w:tc>
          <w:tcPr>
            <w:tcW w:w="2552" w:type="dxa"/>
            <w:gridSpan w:val="3"/>
            <w:tcBorders>
              <w:top w:val="nil"/>
              <w:left w:val="nil"/>
              <w:bottom w:val="nil"/>
              <w:right w:val="nil"/>
            </w:tcBorders>
            <w:shd w:val="clear" w:color="auto" w:fill="auto"/>
          </w:tcPr>
          <w:p w:rsidR="002A2D1F" w:rsidRPr="00D671AE" w:rsidRDefault="00E47ADC" w:rsidP="002F1276">
            <w:pPr>
              <w:spacing w:before="0" w:after="0"/>
              <w:rPr>
                <w:lang w:eastAsia="en-GB"/>
              </w:rPr>
            </w:pPr>
            <w:r w:rsidRPr="00D671AE">
              <w:rPr>
                <w:lang w:eastAsia="en-GB"/>
              </w:rPr>
              <w:t>Tim Gregory</w:t>
            </w:r>
          </w:p>
        </w:tc>
        <w:tc>
          <w:tcPr>
            <w:tcW w:w="3119" w:type="dxa"/>
            <w:tcBorders>
              <w:top w:val="nil"/>
              <w:left w:val="nil"/>
              <w:bottom w:val="nil"/>
              <w:right w:val="nil"/>
            </w:tcBorders>
            <w:shd w:val="clear" w:color="auto" w:fill="auto"/>
          </w:tcPr>
          <w:p w:rsidR="002A2D1F" w:rsidRPr="00D671AE" w:rsidRDefault="00E47ADC" w:rsidP="002F1276">
            <w:pPr>
              <w:spacing w:before="0" w:after="0"/>
              <w:rPr>
                <w:lang w:eastAsia="en-GB"/>
              </w:rPr>
            </w:pPr>
            <w:r w:rsidRPr="00D671AE">
              <w:rPr>
                <w:lang w:eastAsia="en-GB"/>
              </w:rPr>
              <w:t>Non-Executive Director</w:t>
            </w:r>
            <w:r>
              <w:rPr>
                <w:lang w:eastAsia="en-GB"/>
              </w:rPr>
              <w:t xml:space="preserve"> </w:t>
            </w:r>
            <w:r w:rsidR="00CE4E55">
              <w:rPr>
                <w:lang w:eastAsia="en-GB"/>
              </w:rPr>
              <w:t>and Deputy C</w:t>
            </w:r>
            <w:r>
              <w:rPr>
                <w:lang w:eastAsia="en-GB"/>
              </w:rPr>
              <w:t xml:space="preserve">hair </w:t>
            </w:r>
          </w:p>
        </w:tc>
        <w:tc>
          <w:tcPr>
            <w:tcW w:w="1984" w:type="dxa"/>
            <w:tcBorders>
              <w:top w:val="nil"/>
              <w:left w:val="nil"/>
              <w:bottom w:val="nil"/>
              <w:right w:val="nil"/>
            </w:tcBorders>
            <w:shd w:val="clear" w:color="auto" w:fill="auto"/>
          </w:tcPr>
          <w:p w:rsidR="00D622C4" w:rsidRPr="00D671AE" w:rsidRDefault="007141EF" w:rsidP="002F1276">
            <w:pPr>
              <w:spacing w:before="0" w:after="0"/>
              <w:rPr>
                <w:lang w:eastAsia="en-GB"/>
              </w:rPr>
            </w:pPr>
            <w:r w:rsidRPr="00D671AE">
              <w:rPr>
                <w:lang w:eastAsia="en-GB"/>
              </w:rPr>
              <w:t>Andrea Young</w:t>
            </w:r>
          </w:p>
        </w:tc>
        <w:tc>
          <w:tcPr>
            <w:tcW w:w="3119" w:type="dxa"/>
            <w:gridSpan w:val="3"/>
            <w:tcBorders>
              <w:top w:val="nil"/>
              <w:left w:val="nil"/>
              <w:bottom w:val="nil"/>
              <w:right w:val="nil"/>
            </w:tcBorders>
            <w:shd w:val="clear" w:color="auto" w:fill="auto"/>
          </w:tcPr>
          <w:p w:rsidR="00D622C4" w:rsidRPr="00C91086" w:rsidRDefault="007141EF" w:rsidP="002F1276">
            <w:pPr>
              <w:spacing w:before="0" w:after="0"/>
              <w:rPr>
                <w:lang w:eastAsia="en-GB"/>
              </w:rPr>
            </w:pPr>
            <w:r>
              <w:rPr>
                <w:lang w:eastAsia="en-GB"/>
              </w:rPr>
              <w:t>Chief Executive</w:t>
            </w:r>
          </w:p>
        </w:tc>
      </w:tr>
      <w:tr w:rsidR="002F1276" w:rsidRPr="00C91086" w:rsidTr="002F1276">
        <w:tc>
          <w:tcPr>
            <w:tcW w:w="2552" w:type="dxa"/>
            <w:gridSpan w:val="3"/>
            <w:tcBorders>
              <w:top w:val="nil"/>
              <w:left w:val="nil"/>
              <w:bottom w:val="nil"/>
              <w:right w:val="nil"/>
            </w:tcBorders>
            <w:shd w:val="clear" w:color="auto" w:fill="auto"/>
          </w:tcPr>
          <w:p w:rsidR="002F1276" w:rsidRDefault="002F1276" w:rsidP="002F1276">
            <w:pPr>
              <w:spacing w:before="0" w:after="0"/>
              <w:rPr>
                <w:lang w:eastAsia="en-GB"/>
              </w:rPr>
            </w:pPr>
            <w:r w:rsidRPr="00D671AE">
              <w:rPr>
                <w:lang w:eastAsia="en-GB"/>
              </w:rPr>
              <w:t>Michele Romaine</w:t>
            </w:r>
            <w:r>
              <w:rPr>
                <w:lang w:eastAsia="en-GB"/>
              </w:rPr>
              <w:t xml:space="preserve"> </w:t>
            </w:r>
          </w:p>
          <w:p w:rsidR="002F1276" w:rsidRPr="00D671AE" w:rsidRDefault="002F1276" w:rsidP="00C91086">
            <w:pPr>
              <w:spacing w:before="0" w:after="0"/>
              <w:rPr>
                <w:b/>
                <w:lang w:eastAsia="en-GB"/>
              </w:rPr>
            </w:pPr>
          </w:p>
        </w:tc>
        <w:tc>
          <w:tcPr>
            <w:tcW w:w="3119" w:type="dxa"/>
            <w:tcBorders>
              <w:top w:val="nil"/>
              <w:left w:val="nil"/>
              <w:bottom w:val="nil"/>
              <w:right w:val="nil"/>
            </w:tcBorders>
            <w:shd w:val="clear" w:color="auto" w:fill="auto"/>
          </w:tcPr>
          <w:p w:rsidR="002F1276" w:rsidRPr="00D671AE" w:rsidRDefault="002F1276" w:rsidP="00C91086">
            <w:pPr>
              <w:spacing w:before="0" w:after="0"/>
              <w:rPr>
                <w:lang w:eastAsia="en-GB"/>
              </w:rPr>
            </w:pPr>
            <w:r w:rsidRPr="00D671AE">
              <w:rPr>
                <w:lang w:eastAsia="en-GB"/>
              </w:rPr>
              <w:t>Chair</w:t>
            </w:r>
            <w:r>
              <w:rPr>
                <w:lang w:eastAsia="en-GB"/>
              </w:rPr>
              <w:t xml:space="preserve"> (present from minute item 10)</w:t>
            </w:r>
          </w:p>
        </w:tc>
        <w:tc>
          <w:tcPr>
            <w:tcW w:w="1984" w:type="dxa"/>
            <w:tcBorders>
              <w:top w:val="nil"/>
              <w:left w:val="nil"/>
              <w:bottom w:val="nil"/>
              <w:right w:val="nil"/>
            </w:tcBorders>
            <w:shd w:val="clear" w:color="auto" w:fill="auto"/>
          </w:tcPr>
          <w:p w:rsidR="002F1276" w:rsidRPr="00D671AE" w:rsidRDefault="002F1276" w:rsidP="00C91086">
            <w:pPr>
              <w:spacing w:before="0" w:after="0"/>
              <w:rPr>
                <w:lang w:eastAsia="en-GB"/>
              </w:rPr>
            </w:pPr>
            <w:r w:rsidRPr="00D671AE">
              <w:rPr>
                <w:lang w:eastAsia="en-GB"/>
              </w:rPr>
              <w:t>Evelyn Barker</w:t>
            </w:r>
          </w:p>
        </w:tc>
        <w:tc>
          <w:tcPr>
            <w:tcW w:w="3119" w:type="dxa"/>
            <w:gridSpan w:val="3"/>
            <w:tcBorders>
              <w:top w:val="nil"/>
              <w:left w:val="nil"/>
              <w:bottom w:val="nil"/>
              <w:right w:val="nil"/>
            </w:tcBorders>
            <w:shd w:val="clear" w:color="auto" w:fill="auto"/>
          </w:tcPr>
          <w:p w:rsidR="002F1276" w:rsidRPr="00C91086" w:rsidRDefault="002F1276" w:rsidP="00C91086">
            <w:pPr>
              <w:spacing w:before="0" w:after="0"/>
              <w:rPr>
                <w:lang w:eastAsia="en-GB"/>
              </w:rPr>
            </w:pPr>
            <w:r>
              <w:rPr>
                <w:lang w:eastAsia="en-GB"/>
              </w:rPr>
              <w:t xml:space="preserve">Chief Operating Officer  </w:t>
            </w:r>
          </w:p>
        </w:tc>
      </w:tr>
      <w:tr w:rsidR="002F1276" w:rsidRPr="00C91086" w:rsidTr="002F1276">
        <w:tc>
          <w:tcPr>
            <w:tcW w:w="2552" w:type="dxa"/>
            <w:gridSpan w:val="3"/>
            <w:tcBorders>
              <w:top w:val="nil"/>
              <w:left w:val="nil"/>
              <w:bottom w:val="nil"/>
              <w:right w:val="nil"/>
            </w:tcBorders>
            <w:shd w:val="clear" w:color="auto" w:fill="auto"/>
          </w:tcPr>
          <w:p w:rsidR="002F1276" w:rsidRPr="002F1276" w:rsidRDefault="002F1276" w:rsidP="00C91086">
            <w:pPr>
              <w:spacing w:before="0" w:after="0"/>
              <w:rPr>
                <w:lang w:eastAsia="en-GB"/>
              </w:rPr>
            </w:pPr>
            <w:r w:rsidRPr="009E3162">
              <w:rPr>
                <w:lang w:eastAsia="en-GB"/>
              </w:rPr>
              <w:t xml:space="preserve">Kelvin Blake </w:t>
            </w:r>
          </w:p>
        </w:tc>
        <w:tc>
          <w:tcPr>
            <w:tcW w:w="3119" w:type="dxa"/>
            <w:tcBorders>
              <w:top w:val="nil"/>
              <w:left w:val="nil"/>
              <w:bottom w:val="nil"/>
              <w:right w:val="nil"/>
            </w:tcBorders>
            <w:shd w:val="clear" w:color="auto" w:fill="auto"/>
          </w:tcPr>
          <w:p w:rsidR="002F1276" w:rsidRPr="00D671AE" w:rsidRDefault="002F1276" w:rsidP="00C91086">
            <w:pPr>
              <w:spacing w:before="0" w:after="0"/>
              <w:rPr>
                <w:lang w:eastAsia="en-GB"/>
              </w:rPr>
            </w:pPr>
            <w:r w:rsidRPr="00D671AE">
              <w:rPr>
                <w:lang w:eastAsia="en-GB"/>
              </w:rPr>
              <w:t>Non-Executive Director</w:t>
            </w:r>
          </w:p>
        </w:tc>
        <w:tc>
          <w:tcPr>
            <w:tcW w:w="1984" w:type="dxa"/>
            <w:tcBorders>
              <w:top w:val="nil"/>
              <w:left w:val="nil"/>
              <w:bottom w:val="nil"/>
              <w:right w:val="nil"/>
            </w:tcBorders>
            <w:shd w:val="clear" w:color="auto" w:fill="auto"/>
          </w:tcPr>
          <w:p w:rsidR="002F1276" w:rsidRPr="00D671AE" w:rsidRDefault="002F1276" w:rsidP="00C91086">
            <w:pPr>
              <w:spacing w:before="0" w:after="0"/>
              <w:rPr>
                <w:lang w:eastAsia="en-GB"/>
              </w:rPr>
            </w:pPr>
            <w:r w:rsidRPr="00D671AE">
              <w:rPr>
                <w:lang w:eastAsia="en-GB"/>
              </w:rPr>
              <w:t>Helen Blanchard</w:t>
            </w:r>
          </w:p>
        </w:tc>
        <w:tc>
          <w:tcPr>
            <w:tcW w:w="3119" w:type="dxa"/>
            <w:gridSpan w:val="3"/>
            <w:tcBorders>
              <w:top w:val="nil"/>
              <w:left w:val="nil"/>
              <w:bottom w:val="nil"/>
              <w:right w:val="nil"/>
            </w:tcBorders>
            <w:shd w:val="clear" w:color="auto" w:fill="auto"/>
          </w:tcPr>
          <w:p w:rsidR="002F1276" w:rsidRPr="00C91086" w:rsidRDefault="002F1276" w:rsidP="00C91086">
            <w:pPr>
              <w:spacing w:before="0" w:after="0"/>
              <w:rPr>
                <w:lang w:eastAsia="en-GB"/>
              </w:rPr>
            </w:pPr>
            <w:r w:rsidRPr="00C91086">
              <w:rPr>
                <w:lang w:eastAsia="en-GB"/>
              </w:rPr>
              <w:t xml:space="preserve">Director of Nursing &amp; Quality </w:t>
            </w:r>
          </w:p>
        </w:tc>
      </w:tr>
      <w:tr w:rsidR="002F1276" w:rsidRPr="00C91086" w:rsidTr="002F1276">
        <w:tc>
          <w:tcPr>
            <w:tcW w:w="2552" w:type="dxa"/>
            <w:gridSpan w:val="3"/>
            <w:tcBorders>
              <w:top w:val="nil"/>
              <w:left w:val="nil"/>
              <w:bottom w:val="nil"/>
              <w:right w:val="nil"/>
            </w:tcBorders>
            <w:shd w:val="clear" w:color="auto" w:fill="auto"/>
          </w:tcPr>
          <w:p w:rsidR="002F1276" w:rsidRPr="002F1276" w:rsidRDefault="002F1276" w:rsidP="00C91086">
            <w:pPr>
              <w:spacing w:before="0" w:after="0"/>
              <w:rPr>
                <w:lang w:eastAsia="en-GB"/>
              </w:rPr>
            </w:pPr>
            <w:r w:rsidRPr="009E3162">
              <w:rPr>
                <w:lang w:eastAsia="en-GB"/>
              </w:rPr>
              <w:t xml:space="preserve">John </w:t>
            </w:r>
            <w:proofErr w:type="spellStart"/>
            <w:r w:rsidRPr="009E3162">
              <w:rPr>
                <w:lang w:eastAsia="en-GB"/>
              </w:rPr>
              <w:t>Everitt</w:t>
            </w:r>
            <w:proofErr w:type="spellEnd"/>
            <w:r w:rsidRPr="009E3162">
              <w:rPr>
                <w:lang w:eastAsia="en-GB"/>
              </w:rPr>
              <w:t xml:space="preserve"> </w:t>
            </w:r>
          </w:p>
        </w:tc>
        <w:tc>
          <w:tcPr>
            <w:tcW w:w="3119" w:type="dxa"/>
            <w:tcBorders>
              <w:top w:val="nil"/>
              <w:left w:val="nil"/>
              <w:bottom w:val="nil"/>
              <w:right w:val="nil"/>
            </w:tcBorders>
            <w:shd w:val="clear" w:color="auto" w:fill="auto"/>
          </w:tcPr>
          <w:p w:rsidR="002F1276" w:rsidRPr="00D671AE" w:rsidRDefault="002F1276" w:rsidP="00C91086">
            <w:pPr>
              <w:spacing w:before="0" w:after="0"/>
              <w:rPr>
                <w:lang w:eastAsia="en-GB"/>
              </w:rPr>
            </w:pPr>
            <w:r w:rsidRPr="00D671AE">
              <w:rPr>
                <w:lang w:eastAsia="en-GB"/>
              </w:rPr>
              <w:t>Non-Executive Director</w:t>
            </w:r>
          </w:p>
        </w:tc>
        <w:tc>
          <w:tcPr>
            <w:tcW w:w="1984" w:type="dxa"/>
            <w:tcBorders>
              <w:top w:val="nil"/>
              <w:left w:val="nil"/>
              <w:bottom w:val="nil"/>
              <w:right w:val="nil"/>
            </w:tcBorders>
            <w:shd w:val="clear" w:color="auto" w:fill="auto"/>
          </w:tcPr>
          <w:p w:rsidR="002F1276" w:rsidRPr="00D671AE" w:rsidRDefault="002F1276" w:rsidP="00C91086">
            <w:pPr>
              <w:spacing w:before="0" w:after="0"/>
              <w:rPr>
                <w:lang w:eastAsia="en-GB"/>
              </w:rPr>
            </w:pPr>
            <w:r w:rsidRPr="00D671AE">
              <w:rPr>
                <w:lang w:eastAsia="en-GB"/>
              </w:rPr>
              <w:t>Chris Burton</w:t>
            </w:r>
          </w:p>
        </w:tc>
        <w:tc>
          <w:tcPr>
            <w:tcW w:w="3119" w:type="dxa"/>
            <w:gridSpan w:val="3"/>
            <w:tcBorders>
              <w:top w:val="nil"/>
              <w:left w:val="nil"/>
              <w:bottom w:val="nil"/>
              <w:right w:val="nil"/>
            </w:tcBorders>
            <w:shd w:val="clear" w:color="auto" w:fill="auto"/>
          </w:tcPr>
          <w:p w:rsidR="002F1276" w:rsidRPr="00C91086" w:rsidRDefault="002F1276" w:rsidP="00C91086">
            <w:pPr>
              <w:spacing w:before="0" w:after="0"/>
              <w:rPr>
                <w:lang w:eastAsia="en-GB"/>
              </w:rPr>
            </w:pPr>
            <w:r w:rsidRPr="00C91086">
              <w:rPr>
                <w:lang w:eastAsia="en-GB"/>
              </w:rPr>
              <w:t>Medical Director</w:t>
            </w:r>
          </w:p>
        </w:tc>
      </w:tr>
      <w:tr w:rsidR="002F1276" w:rsidRPr="00C91086" w:rsidTr="002F1276">
        <w:tc>
          <w:tcPr>
            <w:tcW w:w="2552" w:type="dxa"/>
            <w:gridSpan w:val="3"/>
            <w:tcBorders>
              <w:top w:val="nil"/>
              <w:left w:val="nil"/>
              <w:bottom w:val="nil"/>
              <w:right w:val="nil"/>
            </w:tcBorders>
            <w:shd w:val="clear" w:color="auto" w:fill="auto"/>
          </w:tcPr>
          <w:p w:rsidR="002F1276" w:rsidRPr="002F1276" w:rsidRDefault="002F1276" w:rsidP="00C91086">
            <w:pPr>
              <w:spacing w:before="0" w:after="0"/>
              <w:rPr>
                <w:lang w:eastAsia="en-GB"/>
              </w:rPr>
            </w:pPr>
            <w:r w:rsidRPr="00D671AE">
              <w:rPr>
                <w:lang w:eastAsia="en-GB"/>
              </w:rPr>
              <w:t xml:space="preserve">Jaki </w:t>
            </w:r>
            <w:proofErr w:type="spellStart"/>
            <w:r w:rsidRPr="00D671AE">
              <w:rPr>
                <w:lang w:eastAsia="en-GB"/>
              </w:rPr>
              <w:t>Meekings</w:t>
            </w:r>
            <w:proofErr w:type="spellEnd"/>
            <w:r w:rsidRPr="00D671AE">
              <w:rPr>
                <w:lang w:eastAsia="en-GB"/>
              </w:rPr>
              <w:t>- Davis</w:t>
            </w:r>
          </w:p>
        </w:tc>
        <w:tc>
          <w:tcPr>
            <w:tcW w:w="3119" w:type="dxa"/>
            <w:tcBorders>
              <w:top w:val="nil"/>
              <w:left w:val="nil"/>
              <w:bottom w:val="nil"/>
              <w:right w:val="nil"/>
            </w:tcBorders>
            <w:shd w:val="clear" w:color="auto" w:fill="auto"/>
          </w:tcPr>
          <w:p w:rsidR="002F1276" w:rsidRPr="00D671AE" w:rsidRDefault="002F1276" w:rsidP="00C91086">
            <w:pPr>
              <w:spacing w:before="0" w:after="0"/>
              <w:rPr>
                <w:lang w:eastAsia="en-GB"/>
              </w:rPr>
            </w:pPr>
            <w:r w:rsidRPr="00D671AE">
              <w:rPr>
                <w:lang w:eastAsia="en-GB"/>
              </w:rPr>
              <w:t>Non-Executive Director</w:t>
            </w:r>
          </w:p>
        </w:tc>
        <w:tc>
          <w:tcPr>
            <w:tcW w:w="1984" w:type="dxa"/>
            <w:tcBorders>
              <w:top w:val="nil"/>
              <w:left w:val="nil"/>
              <w:bottom w:val="nil"/>
              <w:right w:val="nil"/>
            </w:tcBorders>
            <w:shd w:val="clear" w:color="auto" w:fill="auto"/>
          </w:tcPr>
          <w:p w:rsidR="002F1276" w:rsidRPr="00D671AE" w:rsidRDefault="002F1276" w:rsidP="002F1276">
            <w:pPr>
              <w:spacing w:before="0" w:after="0"/>
              <w:rPr>
                <w:lang w:eastAsia="en-GB"/>
              </w:rPr>
            </w:pPr>
            <w:r w:rsidRPr="00D671AE">
              <w:rPr>
                <w:lang w:eastAsia="en-GB"/>
              </w:rPr>
              <w:t xml:space="preserve">Neil </w:t>
            </w:r>
            <w:proofErr w:type="spellStart"/>
            <w:r w:rsidRPr="00D671AE">
              <w:rPr>
                <w:lang w:eastAsia="en-GB"/>
              </w:rPr>
              <w:t>Darvill</w:t>
            </w:r>
            <w:proofErr w:type="spellEnd"/>
          </w:p>
          <w:p w:rsidR="002F1276" w:rsidRPr="00D671AE" w:rsidRDefault="002F1276" w:rsidP="00C91086">
            <w:pPr>
              <w:spacing w:before="0" w:after="0"/>
              <w:rPr>
                <w:lang w:eastAsia="en-GB"/>
              </w:rPr>
            </w:pPr>
          </w:p>
        </w:tc>
        <w:tc>
          <w:tcPr>
            <w:tcW w:w="3119" w:type="dxa"/>
            <w:gridSpan w:val="3"/>
            <w:tcBorders>
              <w:top w:val="nil"/>
              <w:left w:val="nil"/>
              <w:bottom w:val="nil"/>
              <w:right w:val="nil"/>
            </w:tcBorders>
            <w:shd w:val="clear" w:color="auto" w:fill="auto"/>
          </w:tcPr>
          <w:p w:rsidR="002F1276" w:rsidRPr="00C91086" w:rsidRDefault="002F1276" w:rsidP="00C91086">
            <w:pPr>
              <w:spacing w:before="0" w:after="0"/>
              <w:rPr>
                <w:lang w:eastAsia="en-GB"/>
              </w:rPr>
            </w:pPr>
            <w:r w:rsidRPr="00C91086">
              <w:rPr>
                <w:lang w:eastAsia="en-GB"/>
              </w:rPr>
              <w:t>Director of Informatics</w:t>
            </w:r>
          </w:p>
        </w:tc>
      </w:tr>
      <w:tr w:rsidR="002F1276" w:rsidRPr="00C91086" w:rsidTr="002F1276">
        <w:tc>
          <w:tcPr>
            <w:tcW w:w="2552" w:type="dxa"/>
            <w:gridSpan w:val="3"/>
            <w:tcBorders>
              <w:top w:val="nil"/>
              <w:left w:val="nil"/>
              <w:bottom w:val="nil"/>
              <w:right w:val="nil"/>
            </w:tcBorders>
            <w:shd w:val="clear" w:color="auto" w:fill="auto"/>
          </w:tcPr>
          <w:p w:rsidR="002F1276" w:rsidRPr="002F1276" w:rsidRDefault="002F1276" w:rsidP="00C91086">
            <w:pPr>
              <w:spacing w:before="0" w:after="0"/>
              <w:rPr>
                <w:lang w:eastAsia="en-GB"/>
              </w:rPr>
            </w:pPr>
            <w:r w:rsidRPr="00D671AE">
              <w:rPr>
                <w:lang w:eastAsia="en-GB"/>
              </w:rPr>
              <w:t>Richard Gaunt</w:t>
            </w:r>
          </w:p>
        </w:tc>
        <w:tc>
          <w:tcPr>
            <w:tcW w:w="3119" w:type="dxa"/>
            <w:tcBorders>
              <w:top w:val="nil"/>
              <w:left w:val="nil"/>
              <w:bottom w:val="nil"/>
              <w:right w:val="nil"/>
            </w:tcBorders>
            <w:shd w:val="clear" w:color="auto" w:fill="auto"/>
          </w:tcPr>
          <w:p w:rsidR="002F1276" w:rsidRPr="00D671AE" w:rsidRDefault="002F1276" w:rsidP="00C91086">
            <w:pPr>
              <w:spacing w:before="0" w:after="0"/>
              <w:rPr>
                <w:lang w:eastAsia="en-GB"/>
              </w:rPr>
            </w:pPr>
            <w:r w:rsidRPr="00D671AE">
              <w:rPr>
                <w:lang w:eastAsia="en-GB"/>
              </w:rPr>
              <w:t>Non-Executive Director</w:t>
            </w:r>
          </w:p>
        </w:tc>
        <w:tc>
          <w:tcPr>
            <w:tcW w:w="1984" w:type="dxa"/>
            <w:tcBorders>
              <w:top w:val="nil"/>
              <w:left w:val="nil"/>
              <w:bottom w:val="nil"/>
              <w:right w:val="nil"/>
            </w:tcBorders>
            <w:shd w:val="clear" w:color="auto" w:fill="auto"/>
          </w:tcPr>
          <w:p w:rsidR="002F1276" w:rsidRPr="00D671AE" w:rsidRDefault="002F1276" w:rsidP="00C91086">
            <w:pPr>
              <w:spacing w:before="0" w:after="0"/>
              <w:rPr>
                <w:lang w:eastAsia="en-GB"/>
              </w:rPr>
            </w:pPr>
            <w:r w:rsidRPr="00D671AE">
              <w:rPr>
                <w:lang w:eastAsia="en-GB"/>
              </w:rPr>
              <w:t>Catherine Phillips</w:t>
            </w:r>
          </w:p>
        </w:tc>
        <w:tc>
          <w:tcPr>
            <w:tcW w:w="3119" w:type="dxa"/>
            <w:gridSpan w:val="3"/>
            <w:tcBorders>
              <w:top w:val="nil"/>
              <w:left w:val="nil"/>
              <w:bottom w:val="nil"/>
              <w:right w:val="nil"/>
            </w:tcBorders>
            <w:shd w:val="clear" w:color="auto" w:fill="auto"/>
          </w:tcPr>
          <w:p w:rsidR="002F1276" w:rsidRPr="00C91086" w:rsidRDefault="002F1276" w:rsidP="00C91086">
            <w:pPr>
              <w:spacing w:before="0" w:after="0"/>
              <w:rPr>
                <w:lang w:eastAsia="en-GB"/>
              </w:rPr>
            </w:pPr>
            <w:r w:rsidRPr="00C91086">
              <w:rPr>
                <w:lang w:eastAsia="en-GB"/>
              </w:rPr>
              <w:t>Director of Finance</w:t>
            </w:r>
          </w:p>
        </w:tc>
      </w:tr>
      <w:tr w:rsidR="002F1276" w:rsidRPr="00C91086" w:rsidTr="002F1276">
        <w:tc>
          <w:tcPr>
            <w:tcW w:w="2552" w:type="dxa"/>
            <w:gridSpan w:val="3"/>
            <w:tcBorders>
              <w:top w:val="nil"/>
              <w:left w:val="nil"/>
              <w:bottom w:val="nil"/>
              <w:right w:val="nil"/>
            </w:tcBorders>
            <w:shd w:val="clear" w:color="auto" w:fill="auto"/>
          </w:tcPr>
          <w:p w:rsidR="002F1276" w:rsidRPr="002F1276" w:rsidRDefault="002F1276" w:rsidP="00C91086">
            <w:pPr>
              <w:spacing w:before="0" w:after="0"/>
              <w:rPr>
                <w:lang w:eastAsia="en-GB"/>
              </w:rPr>
            </w:pPr>
            <w:r w:rsidRPr="00D671AE">
              <w:rPr>
                <w:lang w:eastAsia="en-GB"/>
              </w:rPr>
              <w:t>Ade Williams</w:t>
            </w:r>
          </w:p>
        </w:tc>
        <w:tc>
          <w:tcPr>
            <w:tcW w:w="3119" w:type="dxa"/>
            <w:tcBorders>
              <w:top w:val="nil"/>
              <w:left w:val="nil"/>
              <w:bottom w:val="nil"/>
              <w:right w:val="nil"/>
            </w:tcBorders>
            <w:shd w:val="clear" w:color="auto" w:fill="auto"/>
          </w:tcPr>
          <w:p w:rsidR="002F1276" w:rsidRPr="00D671AE" w:rsidRDefault="002F1276" w:rsidP="00C91086">
            <w:pPr>
              <w:spacing w:before="0" w:after="0"/>
              <w:rPr>
                <w:lang w:eastAsia="en-GB"/>
              </w:rPr>
            </w:pPr>
            <w:r w:rsidRPr="00D671AE">
              <w:rPr>
                <w:lang w:eastAsia="en-GB"/>
              </w:rPr>
              <w:t>Associate Non-Executive</w:t>
            </w:r>
            <w:r>
              <w:rPr>
                <w:lang w:eastAsia="en-GB"/>
              </w:rPr>
              <w:t xml:space="preserve"> Director </w:t>
            </w:r>
            <w:r>
              <w:rPr>
                <w:lang w:eastAsia="en-GB"/>
              </w:rPr>
              <w:t>(present from minute item 06)</w:t>
            </w:r>
          </w:p>
        </w:tc>
        <w:tc>
          <w:tcPr>
            <w:tcW w:w="1984" w:type="dxa"/>
            <w:tcBorders>
              <w:top w:val="nil"/>
              <w:left w:val="nil"/>
              <w:bottom w:val="nil"/>
              <w:right w:val="nil"/>
            </w:tcBorders>
            <w:shd w:val="clear" w:color="auto" w:fill="auto"/>
          </w:tcPr>
          <w:p w:rsidR="002F1276" w:rsidRPr="00D671AE" w:rsidRDefault="002F1276" w:rsidP="00C91086">
            <w:pPr>
              <w:spacing w:before="0" w:after="0"/>
              <w:rPr>
                <w:lang w:eastAsia="en-GB"/>
              </w:rPr>
            </w:pPr>
            <w:r w:rsidRPr="00D671AE">
              <w:rPr>
                <w:lang w:eastAsia="en-GB"/>
              </w:rPr>
              <w:t>Jacqui Marshall</w:t>
            </w:r>
          </w:p>
        </w:tc>
        <w:tc>
          <w:tcPr>
            <w:tcW w:w="3119" w:type="dxa"/>
            <w:gridSpan w:val="3"/>
            <w:tcBorders>
              <w:top w:val="nil"/>
              <w:left w:val="nil"/>
              <w:bottom w:val="nil"/>
              <w:right w:val="nil"/>
            </w:tcBorders>
            <w:shd w:val="clear" w:color="auto" w:fill="auto"/>
          </w:tcPr>
          <w:p w:rsidR="002F1276" w:rsidRPr="00C91086" w:rsidRDefault="002F1276" w:rsidP="00C91086">
            <w:pPr>
              <w:spacing w:before="0" w:after="0"/>
              <w:rPr>
                <w:lang w:eastAsia="en-GB"/>
              </w:rPr>
            </w:pPr>
            <w:r>
              <w:rPr>
                <w:lang w:eastAsia="en-GB"/>
              </w:rPr>
              <w:t>Director of People &amp; Transformation</w:t>
            </w:r>
          </w:p>
        </w:tc>
      </w:tr>
      <w:tr w:rsidR="002F1276" w:rsidRPr="00C91086" w:rsidTr="002F1276">
        <w:tc>
          <w:tcPr>
            <w:tcW w:w="2552" w:type="dxa"/>
            <w:gridSpan w:val="3"/>
            <w:tcBorders>
              <w:top w:val="nil"/>
              <w:left w:val="nil"/>
              <w:bottom w:val="nil"/>
              <w:right w:val="nil"/>
            </w:tcBorders>
            <w:shd w:val="clear" w:color="auto" w:fill="auto"/>
          </w:tcPr>
          <w:p w:rsidR="002F1276" w:rsidRPr="002F1276" w:rsidRDefault="002F1276" w:rsidP="00C91086">
            <w:pPr>
              <w:spacing w:before="0" w:after="0"/>
              <w:rPr>
                <w:lang w:eastAsia="en-GB"/>
              </w:rPr>
            </w:pPr>
            <w:proofErr w:type="spellStart"/>
            <w:r>
              <w:rPr>
                <w:lang w:eastAsia="en-GB"/>
              </w:rPr>
              <w:t>LaToyah</w:t>
            </w:r>
            <w:proofErr w:type="spellEnd"/>
            <w:r>
              <w:rPr>
                <w:lang w:eastAsia="en-GB"/>
              </w:rPr>
              <w:t xml:space="preserve"> </w:t>
            </w:r>
            <w:proofErr w:type="spellStart"/>
            <w:r>
              <w:rPr>
                <w:lang w:eastAsia="en-GB"/>
              </w:rPr>
              <w:t>Mcallister</w:t>
            </w:r>
            <w:proofErr w:type="spellEnd"/>
            <w:r>
              <w:rPr>
                <w:lang w:eastAsia="en-GB"/>
              </w:rPr>
              <w:t>-Jones</w:t>
            </w:r>
          </w:p>
        </w:tc>
        <w:tc>
          <w:tcPr>
            <w:tcW w:w="3119" w:type="dxa"/>
            <w:tcBorders>
              <w:top w:val="nil"/>
              <w:left w:val="nil"/>
              <w:bottom w:val="nil"/>
              <w:right w:val="nil"/>
            </w:tcBorders>
            <w:shd w:val="clear" w:color="auto" w:fill="auto"/>
          </w:tcPr>
          <w:p w:rsidR="002F1276" w:rsidRPr="00D671AE" w:rsidRDefault="002F1276" w:rsidP="00C91086">
            <w:pPr>
              <w:spacing w:before="0" w:after="0"/>
              <w:rPr>
                <w:lang w:eastAsia="en-GB"/>
              </w:rPr>
            </w:pPr>
            <w:r w:rsidRPr="00D671AE">
              <w:rPr>
                <w:lang w:eastAsia="en-GB"/>
              </w:rPr>
              <w:t>Associate Non-Executive Director</w:t>
            </w:r>
            <w:r>
              <w:rPr>
                <w:lang w:eastAsia="en-GB"/>
              </w:rPr>
              <w:t xml:space="preserve"> (present from minute item 06)</w:t>
            </w:r>
          </w:p>
        </w:tc>
        <w:tc>
          <w:tcPr>
            <w:tcW w:w="1984" w:type="dxa"/>
            <w:tcBorders>
              <w:top w:val="nil"/>
              <w:left w:val="nil"/>
              <w:bottom w:val="nil"/>
              <w:right w:val="nil"/>
            </w:tcBorders>
            <w:shd w:val="clear" w:color="auto" w:fill="auto"/>
          </w:tcPr>
          <w:p w:rsidR="002F1276" w:rsidRPr="00D671AE" w:rsidRDefault="002F1276" w:rsidP="00C91086">
            <w:pPr>
              <w:spacing w:before="0" w:after="0"/>
              <w:rPr>
                <w:lang w:eastAsia="en-GB"/>
              </w:rPr>
            </w:pPr>
            <w:r w:rsidRPr="00D671AE">
              <w:t>Simon Wood</w:t>
            </w:r>
          </w:p>
        </w:tc>
        <w:tc>
          <w:tcPr>
            <w:tcW w:w="3119" w:type="dxa"/>
            <w:gridSpan w:val="3"/>
            <w:tcBorders>
              <w:top w:val="nil"/>
              <w:left w:val="nil"/>
              <w:bottom w:val="nil"/>
              <w:right w:val="nil"/>
            </w:tcBorders>
            <w:shd w:val="clear" w:color="auto" w:fill="auto"/>
          </w:tcPr>
          <w:p w:rsidR="002F1276" w:rsidRPr="00C91086" w:rsidRDefault="002F1276" w:rsidP="00C91086">
            <w:pPr>
              <w:spacing w:before="0" w:after="0"/>
              <w:rPr>
                <w:lang w:eastAsia="en-GB"/>
              </w:rPr>
            </w:pPr>
            <w:r>
              <w:t>Director of Estates, Facilities &amp; Capital Planning</w:t>
            </w:r>
          </w:p>
        </w:tc>
      </w:tr>
      <w:tr w:rsidR="002F1276" w:rsidRPr="00C91086" w:rsidTr="002F1276">
        <w:tc>
          <w:tcPr>
            <w:tcW w:w="10774" w:type="dxa"/>
            <w:gridSpan w:val="8"/>
            <w:tcBorders>
              <w:top w:val="nil"/>
              <w:left w:val="nil"/>
              <w:bottom w:val="nil"/>
              <w:right w:val="nil"/>
            </w:tcBorders>
            <w:shd w:val="clear" w:color="auto" w:fill="auto"/>
          </w:tcPr>
          <w:p w:rsidR="002F1276" w:rsidRPr="00C91086" w:rsidRDefault="002F1276" w:rsidP="00C91086">
            <w:pPr>
              <w:spacing w:before="0" w:after="0"/>
              <w:rPr>
                <w:lang w:eastAsia="en-GB"/>
              </w:rPr>
            </w:pPr>
            <w:r w:rsidRPr="00D671AE">
              <w:rPr>
                <w:b/>
                <w:lang w:eastAsia="en-GB"/>
              </w:rPr>
              <w:t>In Attendance:</w:t>
            </w:r>
          </w:p>
        </w:tc>
      </w:tr>
      <w:tr w:rsidR="002F1276" w:rsidRPr="00C91086" w:rsidTr="002F1276">
        <w:tc>
          <w:tcPr>
            <w:tcW w:w="2552" w:type="dxa"/>
            <w:gridSpan w:val="3"/>
            <w:tcBorders>
              <w:top w:val="nil"/>
              <w:left w:val="nil"/>
              <w:bottom w:val="nil"/>
              <w:right w:val="nil"/>
            </w:tcBorders>
            <w:shd w:val="clear" w:color="auto" w:fill="auto"/>
          </w:tcPr>
          <w:p w:rsidR="002F1276" w:rsidRPr="00D671AE" w:rsidRDefault="002F1276" w:rsidP="00E1559C">
            <w:pPr>
              <w:spacing w:before="0" w:after="0"/>
              <w:rPr>
                <w:lang w:eastAsia="en-GB"/>
              </w:rPr>
            </w:pPr>
            <w:r w:rsidRPr="00D671AE">
              <w:rPr>
                <w:lang w:eastAsia="en-GB"/>
              </w:rPr>
              <w:t>Xavier Bell</w:t>
            </w:r>
          </w:p>
          <w:p w:rsidR="002F1276" w:rsidRPr="00D671AE" w:rsidRDefault="002F1276" w:rsidP="00E1559C">
            <w:pPr>
              <w:spacing w:before="0" w:after="0"/>
              <w:rPr>
                <w:lang w:eastAsia="en-GB"/>
              </w:rPr>
            </w:pPr>
          </w:p>
        </w:tc>
        <w:tc>
          <w:tcPr>
            <w:tcW w:w="3119" w:type="dxa"/>
            <w:tcBorders>
              <w:top w:val="nil"/>
              <w:left w:val="nil"/>
              <w:bottom w:val="nil"/>
              <w:right w:val="nil"/>
            </w:tcBorders>
            <w:shd w:val="clear" w:color="auto" w:fill="auto"/>
          </w:tcPr>
          <w:p w:rsidR="002F1276" w:rsidRPr="00D671AE" w:rsidRDefault="002F1276" w:rsidP="00C91086">
            <w:pPr>
              <w:spacing w:before="0" w:after="0"/>
              <w:rPr>
                <w:lang w:eastAsia="en-GB"/>
              </w:rPr>
            </w:pPr>
            <w:r w:rsidRPr="00D671AE">
              <w:rPr>
                <w:lang w:eastAsia="en-GB"/>
              </w:rPr>
              <w:t>Director of Corporate Governance &amp; Trust Secretary</w:t>
            </w:r>
          </w:p>
        </w:tc>
        <w:tc>
          <w:tcPr>
            <w:tcW w:w="1984" w:type="dxa"/>
            <w:tcBorders>
              <w:top w:val="nil"/>
              <w:left w:val="nil"/>
              <w:bottom w:val="nil"/>
              <w:right w:val="nil"/>
            </w:tcBorders>
            <w:shd w:val="clear" w:color="auto" w:fill="auto"/>
          </w:tcPr>
          <w:p w:rsidR="002F1276" w:rsidRPr="00D671AE" w:rsidRDefault="002F1276" w:rsidP="00C91086">
            <w:pPr>
              <w:spacing w:before="0" w:after="0"/>
              <w:rPr>
                <w:lang w:eastAsia="en-GB"/>
              </w:rPr>
            </w:pPr>
            <w:r>
              <w:rPr>
                <w:lang w:eastAsia="en-GB"/>
              </w:rPr>
              <w:t>Pete Bramwell</w:t>
            </w:r>
          </w:p>
        </w:tc>
        <w:tc>
          <w:tcPr>
            <w:tcW w:w="3119" w:type="dxa"/>
            <w:gridSpan w:val="3"/>
            <w:tcBorders>
              <w:top w:val="nil"/>
              <w:left w:val="nil"/>
              <w:bottom w:val="nil"/>
              <w:right w:val="nil"/>
            </w:tcBorders>
            <w:shd w:val="clear" w:color="auto" w:fill="auto"/>
          </w:tcPr>
          <w:p w:rsidR="002F1276" w:rsidRDefault="002F1276" w:rsidP="002F1276">
            <w:pPr>
              <w:spacing w:before="0" w:after="0"/>
              <w:rPr>
                <w:lang w:eastAsia="en-GB"/>
              </w:rPr>
            </w:pPr>
            <w:r>
              <w:rPr>
                <w:lang w:eastAsia="en-GB"/>
              </w:rPr>
              <w:t>Head of Communications</w:t>
            </w:r>
          </w:p>
          <w:p w:rsidR="002F1276" w:rsidRPr="00C91086" w:rsidRDefault="002F1276" w:rsidP="00C91086">
            <w:pPr>
              <w:spacing w:before="0" w:after="0"/>
              <w:rPr>
                <w:lang w:eastAsia="en-GB"/>
              </w:rPr>
            </w:pPr>
          </w:p>
        </w:tc>
      </w:tr>
      <w:tr w:rsidR="002F1276" w:rsidRPr="00C91086" w:rsidTr="002F1276">
        <w:tc>
          <w:tcPr>
            <w:tcW w:w="2552" w:type="dxa"/>
            <w:gridSpan w:val="3"/>
            <w:tcBorders>
              <w:top w:val="nil"/>
              <w:left w:val="nil"/>
              <w:bottom w:val="nil"/>
              <w:right w:val="nil"/>
            </w:tcBorders>
            <w:shd w:val="clear" w:color="auto" w:fill="auto"/>
          </w:tcPr>
          <w:p w:rsidR="002F1276" w:rsidRDefault="002F1276" w:rsidP="002F1276">
            <w:pPr>
              <w:spacing w:before="0" w:after="0"/>
              <w:rPr>
                <w:lang w:eastAsia="en-GB"/>
              </w:rPr>
            </w:pPr>
            <w:r>
              <w:rPr>
                <w:lang w:eastAsia="en-GB"/>
              </w:rPr>
              <w:t>Isobel Clements</w:t>
            </w:r>
          </w:p>
          <w:p w:rsidR="002F1276" w:rsidRPr="00D671AE" w:rsidRDefault="002F1276" w:rsidP="00C91086">
            <w:pPr>
              <w:spacing w:before="0" w:after="0"/>
              <w:rPr>
                <w:b/>
                <w:lang w:eastAsia="en-GB"/>
              </w:rPr>
            </w:pPr>
          </w:p>
        </w:tc>
        <w:tc>
          <w:tcPr>
            <w:tcW w:w="3119" w:type="dxa"/>
            <w:tcBorders>
              <w:top w:val="nil"/>
              <w:left w:val="nil"/>
              <w:bottom w:val="nil"/>
              <w:right w:val="nil"/>
            </w:tcBorders>
            <w:shd w:val="clear" w:color="auto" w:fill="auto"/>
          </w:tcPr>
          <w:p w:rsidR="002F1276" w:rsidRPr="00D671AE" w:rsidRDefault="002F1276" w:rsidP="00C91086">
            <w:pPr>
              <w:spacing w:before="0" w:after="0"/>
              <w:rPr>
                <w:lang w:eastAsia="en-GB"/>
              </w:rPr>
            </w:pPr>
            <w:r>
              <w:rPr>
                <w:lang w:eastAsia="en-GB"/>
              </w:rPr>
              <w:t>Corporate Governance Officer</w:t>
            </w:r>
          </w:p>
        </w:tc>
        <w:tc>
          <w:tcPr>
            <w:tcW w:w="1984" w:type="dxa"/>
            <w:tcBorders>
              <w:top w:val="nil"/>
              <w:left w:val="nil"/>
              <w:bottom w:val="nil"/>
              <w:right w:val="nil"/>
            </w:tcBorders>
            <w:shd w:val="clear" w:color="auto" w:fill="auto"/>
          </w:tcPr>
          <w:p w:rsidR="002F1276" w:rsidRPr="00D671AE" w:rsidRDefault="002F1276" w:rsidP="00C91086">
            <w:pPr>
              <w:spacing w:before="0" w:after="0"/>
              <w:rPr>
                <w:lang w:eastAsia="en-GB"/>
              </w:rPr>
            </w:pPr>
          </w:p>
        </w:tc>
        <w:tc>
          <w:tcPr>
            <w:tcW w:w="3119" w:type="dxa"/>
            <w:gridSpan w:val="3"/>
            <w:tcBorders>
              <w:top w:val="nil"/>
              <w:left w:val="nil"/>
              <w:bottom w:val="nil"/>
              <w:right w:val="nil"/>
            </w:tcBorders>
            <w:shd w:val="clear" w:color="auto" w:fill="auto"/>
          </w:tcPr>
          <w:p w:rsidR="002F1276" w:rsidRPr="00C91086" w:rsidRDefault="002F1276" w:rsidP="00C91086">
            <w:pPr>
              <w:spacing w:before="0" w:after="0"/>
              <w:rPr>
                <w:lang w:eastAsia="en-GB"/>
              </w:rPr>
            </w:pPr>
          </w:p>
        </w:tc>
      </w:tr>
      <w:tr w:rsidR="002F1276" w:rsidRPr="00C91086" w:rsidTr="002F1276">
        <w:tc>
          <w:tcPr>
            <w:tcW w:w="10774" w:type="dxa"/>
            <w:gridSpan w:val="8"/>
            <w:tcBorders>
              <w:top w:val="nil"/>
              <w:left w:val="nil"/>
              <w:bottom w:val="nil"/>
              <w:right w:val="nil"/>
            </w:tcBorders>
            <w:shd w:val="clear" w:color="auto" w:fill="auto"/>
          </w:tcPr>
          <w:p w:rsidR="002F1276" w:rsidRPr="000762B3" w:rsidRDefault="002F1276" w:rsidP="001F402A">
            <w:pPr>
              <w:spacing w:before="0" w:after="0"/>
              <w:rPr>
                <w:sz w:val="10"/>
                <w:szCs w:val="10"/>
                <w:lang w:eastAsia="en-GB"/>
              </w:rPr>
            </w:pPr>
          </w:p>
          <w:p w:rsidR="002F1276" w:rsidRPr="006B170D" w:rsidRDefault="002F1276" w:rsidP="001F402A">
            <w:pPr>
              <w:spacing w:before="0" w:after="0"/>
              <w:rPr>
                <w:sz w:val="10"/>
                <w:szCs w:val="10"/>
                <w:lang w:eastAsia="en-GB"/>
              </w:rPr>
            </w:pPr>
          </w:p>
        </w:tc>
      </w:tr>
      <w:tr w:rsidR="002F1276" w:rsidRPr="00C91086" w:rsidTr="007141EF">
        <w:tc>
          <w:tcPr>
            <w:tcW w:w="10774" w:type="dxa"/>
            <w:gridSpan w:val="8"/>
            <w:tcBorders>
              <w:top w:val="nil"/>
              <w:left w:val="nil"/>
              <w:bottom w:val="nil"/>
              <w:right w:val="nil"/>
            </w:tcBorders>
            <w:shd w:val="clear" w:color="auto" w:fill="auto"/>
          </w:tcPr>
          <w:p w:rsidR="002F1276" w:rsidRPr="00662E5E" w:rsidRDefault="002F1276" w:rsidP="00346E39">
            <w:pPr>
              <w:spacing w:before="0" w:after="0"/>
              <w:rPr>
                <w:rFonts w:eastAsia="MS Mincho;ＭＳ 明朝"/>
              </w:rPr>
            </w:pPr>
            <w:r>
              <w:rPr>
                <w:b/>
              </w:rPr>
              <w:t>Observers:</w:t>
            </w:r>
            <w:r>
              <w:rPr>
                <w:rFonts w:eastAsia="MS Mincho;ＭＳ 明朝"/>
              </w:rPr>
              <w:t xml:space="preserve">  </w:t>
            </w:r>
            <w:r w:rsidRPr="00347D80">
              <w:t>Due to the impact of Coronavirus C</w:t>
            </w:r>
            <w:r>
              <w:t>ovid</w:t>
            </w:r>
            <w:r w:rsidRPr="00347D80">
              <w:t xml:space="preserve">-19, the Trust Chair </w:t>
            </w:r>
            <w:r>
              <w:t>took t</w:t>
            </w:r>
            <w:r w:rsidRPr="00347D80">
              <w:t xml:space="preserve">he decision to suspend non-urgent and non-essential meetings until further notice. The Trust Board </w:t>
            </w:r>
            <w:r>
              <w:t xml:space="preserve">met at the Nightingale Hospital Bristol (with social distancing) and </w:t>
            </w:r>
            <w:r w:rsidRPr="00347D80">
              <w:t>virtually</w:t>
            </w:r>
            <w:r>
              <w:t xml:space="preserve"> via MS Teams,</w:t>
            </w:r>
            <w:r w:rsidRPr="00347D80">
              <w:t xml:space="preserve"> but </w:t>
            </w:r>
            <w:r>
              <w:t xml:space="preserve">was </w:t>
            </w:r>
            <w:r w:rsidRPr="00347D80">
              <w:t xml:space="preserve">unable to invite people to attend the public session. Trust Board papers </w:t>
            </w:r>
            <w:r>
              <w:t xml:space="preserve">were </w:t>
            </w:r>
            <w:r w:rsidRPr="00347D80">
              <w:t xml:space="preserve">published on the website, and interested members of the public </w:t>
            </w:r>
            <w:r>
              <w:t xml:space="preserve">were </w:t>
            </w:r>
            <w:r w:rsidRPr="00347D80">
              <w:t>invited to submit questions in line with the Trust’s normal processes.</w:t>
            </w:r>
            <w:r>
              <w:t xml:space="preserve"> A recording of the meeting was published on the website.</w:t>
            </w:r>
          </w:p>
        </w:tc>
      </w:tr>
      <w:tr w:rsidR="002F1276" w:rsidTr="00E44A21">
        <w:tblPrEx>
          <w:tblBorders>
            <w:insideH w:val="none" w:sz="0" w:space="0" w:color="auto"/>
            <w:insideV w:val="none" w:sz="0" w:space="0" w:color="auto"/>
          </w:tblBorders>
        </w:tblPrEx>
        <w:trPr>
          <w:gridBefore w:val="1"/>
          <w:gridAfter w:val="1"/>
          <w:wBefore w:w="425" w:type="dxa"/>
          <w:wAfter w:w="284" w:type="dxa"/>
        </w:trPr>
        <w:tc>
          <w:tcPr>
            <w:tcW w:w="1702" w:type="dxa"/>
            <w:shd w:val="clear" w:color="auto" w:fill="auto"/>
          </w:tcPr>
          <w:p w:rsidR="002F1276" w:rsidRPr="007141EF" w:rsidRDefault="002F1276" w:rsidP="00D06C7C">
            <w:pPr>
              <w:tabs>
                <w:tab w:val="left" w:pos="741"/>
                <w:tab w:val="left" w:pos="1985"/>
              </w:tabs>
              <w:spacing w:before="0"/>
              <w:ind w:firstLine="34"/>
              <w:jc w:val="both"/>
              <w:rPr>
                <w:b/>
                <w:sz w:val="10"/>
                <w:szCs w:val="10"/>
              </w:rPr>
            </w:pPr>
          </w:p>
          <w:p w:rsidR="002F1276" w:rsidRDefault="002F1276" w:rsidP="00AE01E8">
            <w:pPr>
              <w:tabs>
                <w:tab w:val="left" w:pos="741"/>
                <w:tab w:val="left" w:pos="1985"/>
              </w:tabs>
              <w:spacing w:before="0"/>
              <w:ind w:firstLine="34"/>
              <w:jc w:val="both"/>
              <w:rPr>
                <w:b/>
              </w:rPr>
            </w:pPr>
            <w:r>
              <w:rPr>
                <w:b/>
              </w:rPr>
              <w:t>TB/20/09/01</w:t>
            </w:r>
          </w:p>
        </w:tc>
        <w:tc>
          <w:tcPr>
            <w:tcW w:w="7229" w:type="dxa"/>
            <w:gridSpan w:val="4"/>
            <w:shd w:val="clear" w:color="auto" w:fill="auto"/>
          </w:tcPr>
          <w:p w:rsidR="002F1276" w:rsidRPr="007141EF" w:rsidRDefault="002F1276" w:rsidP="00723A51">
            <w:pPr>
              <w:tabs>
                <w:tab w:val="left" w:pos="1985"/>
              </w:tabs>
              <w:spacing w:before="0"/>
              <w:jc w:val="both"/>
              <w:rPr>
                <w:rFonts w:eastAsia="MS Mincho;ＭＳ 明朝"/>
                <w:b/>
                <w:sz w:val="10"/>
                <w:szCs w:val="10"/>
              </w:rPr>
            </w:pPr>
          </w:p>
          <w:p w:rsidR="002F1276" w:rsidRDefault="002F1276" w:rsidP="00723A51">
            <w:pPr>
              <w:tabs>
                <w:tab w:val="left" w:pos="1985"/>
              </w:tabs>
              <w:spacing w:before="0"/>
              <w:jc w:val="both"/>
              <w:rPr>
                <w:rFonts w:eastAsia="MS Mincho;ＭＳ 明朝"/>
                <w:b/>
              </w:rPr>
            </w:pPr>
            <w:r>
              <w:rPr>
                <w:rFonts w:eastAsia="MS Mincho;ＭＳ 明朝"/>
                <w:b/>
              </w:rPr>
              <w:t>Welcome and Apologies for Absence</w:t>
            </w:r>
          </w:p>
        </w:tc>
        <w:tc>
          <w:tcPr>
            <w:tcW w:w="1134" w:type="dxa"/>
            <w:shd w:val="clear" w:color="auto" w:fill="auto"/>
          </w:tcPr>
          <w:p w:rsidR="002F1276" w:rsidRPr="007141EF" w:rsidRDefault="002F1276" w:rsidP="00980139">
            <w:pPr>
              <w:tabs>
                <w:tab w:val="left" w:pos="1985"/>
              </w:tabs>
              <w:snapToGrid w:val="0"/>
              <w:ind w:right="-108"/>
              <w:contextualSpacing/>
              <w:jc w:val="both"/>
              <w:rPr>
                <w:b/>
                <w:sz w:val="10"/>
                <w:szCs w:val="10"/>
              </w:rPr>
            </w:pPr>
          </w:p>
          <w:p w:rsidR="002F1276" w:rsidRDefault="002F1276" w:rsidP="00980139">
            <w:pPr>
              <w:tabs>
                <w:tab w:val="left" w:pos="1985"/>
              </w:tabs>
              <w:snapToGrid w:val="0"/>
              <w:ind w:right="-108"/>
              <w:contextualSpacing/>
              <w:jc w:val="both"/>
              <w:rPr>
                <w:rFonts w:eastAsia="MS Mincho;ＭＳ 明朝"/>
                <w:b/>
              </w:rPr>
            </w:pPr>
            <w:r>
              <w:rPr>
                <w:b/>
              </w:rPr>
              <w:t>Action</w:t>
            </w:r>
          </w:p>
        </w:tc>
      </w:tr>
      <w:tr w:rsidR="002F1276" w:rsidTr="00E44A21">
        <w:tblPrEx>
          <w:tblBorders>
            <w:insideH w:val="none" w:sz="0" w:space="0" w:color="auto"/>
            <w:insideV w:val="none" w:sz="0" w:space="0" w:color="auto"/>
          </w:tblBorders>
        </w:tblPrEx>
        <w:trPr>
          <w:gridBefore w:val="1"/>
          <w:gridAfter w:val="1"/>
          <w:wBefore w:w="425" w:type="dxa"/>
          <w:wAfter w:w="284" w:type="dxa"/>
        </w:trPr>
        <w:tc>
          <w:tcPr>
            <w:tcW w:w="1702" w:type="dxa"/>
            <w:shd w:val="clear" w:color="auto" w:fill="auto"/>
          </w:tcPr>
          <w:p w:rsidR="002F1276" w:rsidRDefault="002F1276" w:rsidP="00D06C7C">
            <w:pPr>
              <w:tabs>
                <w:tab w:val="left" w:pos="741"/>
                <w:tab w:val="left" w:pos="1985"/>
              </w:tabs>
              <w:spacing w:before="0"/>
              <w:ind w:firstLine="34"/>
              <w:jc w:val="both"/>
              <w:rPr>
                <w:b/>
              </w:rPr>
            </w:pPr>
          </w:p>
        </w:tc>
        <w:tc>
          <w:tcPr>
            <w:tcW w:w="7229" w:type="dxa"/>
            <w:gridSpan w:val="4"/>
            <w:shd w:val="clear" w:color="auto" w:fill="auto"/>
          </w:tcPr>
          <w:p w:rsidR="002F1276" w:rsidRDefault="002F1276" w:rsidP="00D622C4">
            <w:pPr>
              <w:spacing w:before="0" w:after="0"/>
              <w:rPr>
                <w:rFonts w:eastAsia="MS Mincho;ＭＳ 明朝"/>
              </w:rPr>
            </w:pPr>
            <w:r>
              <w:rPr>
                <w:rFonts w:eastAsia="MS Mincho;ＭＳ 明朝"/>
              </w:rPr>
              <w:t xml:space="preserve">Tim Gregory chaired the meeting on behalf of Michele Romaine, NBT Chair and welcomed </w:t>
            </w:r>
            <w:r w:rsidRPr="005A5F70">
              <w:rPr>
                <w:rFonts w:eastAsia="MS Mincho;ＭＳ 明朝"/>
              </w:rPr>
              <w:t xml:space="preserve">everyone to the public meeting of the Board. </w:t>
            </w:r>
            <w:r>
              <w:rPr>
                <w:rFonts w:eastAsia="MS Mincho;ＭＳ 明朝"/>
              </w:rPr>
              <w:t>Apologies were received from Kelly MacFarlane, Non-Executive Director (NED).</w:t>
            </w:r>
          </w:p>
          <w:p w:rsidR="002F1276" w:rsidRPr="00D622C4" w:rsidRDefault="002F1276" w:rsidP="00D622C4">
            <w:pPr>
              <w:spacing w:before="0" w:after="0"/>
              <w:rPr>
                <w:lang w:eastAsia="en-GB"/>
              </w:rPr>
            </w:pPr>
          </w:p>
        </w:tc>
        <w:tc>
          <w:tcPr>
            <w:tcW w:w="1134" w:type="dxa"/>
            <w:shd w:val="clear" w:color="auto" w:fill="auto"/>
          </w:tcPr>
          <w:p w:rsidR="002F1276" w:rsidRDefault="002F1276" w:rsidP="00980139">
            <w:pPr>
              <w:tabs>
                <w:tab w:val="left" w:pos="1985"/>
              </w:tabs>
              <w:snapToGrid w:val="0"/>
              <w:ind w:right="-108"/>
              <w:contextualSpacing/>
              <w:jc w:val="both"/>
              <w:rPr>
                <w:rFonts w:eastAsia="MS Mincho;ＭＳ 明朝"/>
                <w:b/>
              </w:rPr>
            </w:pPr>
          </w:p>
        </w:tc>
      </w:tr>
      <w:tr w:rsidR="002F1276" w:rsidTr="007C5109">
        <w:tblPrEx>
          <w:tblBorders>
            <w:insideH w:val="none" w:sz="0" w:space="0" w:color="auto"/>
            <w:insideV w:val="none" w:sz="0" w:space="0" w:color="auto"/>
          </w:tblBorders>
        </w:tblPrEx>
        <w:trPr>
          <w:gridBefore w:val="1"/>
          <w:gridAfter w:val="1"/>
          <w:wBefore w:w="425" w:type="dxa"/>
          <w:wAfter w:w="284" w:type="dxa"/>
          <w:trHeight w:val="443"/>
        </w:trPr>
        <w:tc>
          <w:tcPr>
            <w:tcW w:w="1702" w:type="dxa"/>
            <w:shd w:val="clear" w:color="auto" w:fill="auto"/>
          </w:tcPr>
          <w:p w:rsidR="002F1276" w:rsidRDefault="002F1276" w:rsidP="00B5378B">
            <w:pPr>
              <w:tabs>
                <w:tab w:val="left" w:pos="741"/>
                <w:tab w:val="left" w:pos="1985"/>
              </w:tabs>
              <w:snapToGrid w:val="0"/>
              <w:spacing w:before="0"/>
              <w:ind w:firstLine="34"/>
              <w:contextualSpacing/>
              <w:jc w:val="both"/>
              <w:rPr>
                <w:b/>
              </w:rPr>
            </w:pPr>
            <w:r>
              <w:rPr>
                <w:b/>
              </w:rPr>
              <w:t>TB/20/09/02</w:t>
            </w:r>
          </w:p>
        </w:tc>
        <w:tc>
          <w:tcPr>
            <w:tcW w:w="7229" w:type="dxa"/>
            <w:gridSpan w:val="4"/>
            <w:shd w:val="clear" w:color="auto" w:fill="auto"/>
          </w:tcPr>
          <w:p w:rsidR="002F1276" w:rsidRPr="00E47ADC" w:rsidRDefault="002F1276" w:rsidP="00267F37">
            <w:pPr>
              <w:tabs>
                <w:tab w:val="left" w:pos="1985"/>
              </w:tabs>
              <w:spacing w:before="0" w:after="0"/>
              <w:jc w:val="both"/>
              <w:rPr>
                <w:b/>
              </w:rPr>
            </w:pPr>
            <w:r w:rsidRPr="00E47ADC">
              <w:rPr>
                <w:b/>
              </w:rPr>
              <w:t>Declarations of Interest</w:t>
            </w:r>
          </w:p>
        </w:tc>
        <w:tc>
          <w:tcPr>
            <w:tcW w:w="1134" w:type="dxa"/>
            <w:tcBorders>
              <w:left w:val="nil"/>
            </w:tcBorders>
            <w:shd w:val="clear" w:color="auto" w:fill="auto"/>
          </w:tcPr>
          <w:p w:rsidR="002F1276" w:rsidRDefault="002F1276" w:rsidP="00980139">
            <w:pPr>
              <w:tabs>
                <w:tab w:val="left" w:pos="1985"/>
              </w:tabs>
              <w:snapToGrid w:val="0"/>
              <w:ind w:right="-108"/>
              <w:contextualSpacing/>
              <w:jc w:val="both"/>
              <w:rPr>
                <w:b/>
              </w:rPr>
            </w:pPr>
          </w:p>
        </w:tc>
      </w:tr>
      <w:tr w:rsidR="002F1276" w:rsidTr="00E44A21">
        <w:tblPrEx>
          <w:tblBorders>
            <w:insideH w:val="none" w:sz="0" w:space="0" w:color="auto"/>
            <w:insideV w:val="none" w:sz="0" w:space="0" w:color="auto"/>
          </w:tblBorders>
        </w:tblPrEx>
        <w:trPr>
          <w:gridBefore w:val="1"/>
          <w:gridAfter w:val="1"/>
          <w:wBefore w:w="425" w:type="dxa"/>
          <w:wAfter w:w="284" w:type="dxa"/>
        </w:trPr>
        <w:tc>
          <w:tcPr>
            <w:tcW w:w="1702" w:type="dxa"/>
            <w:shd w:val="clear" w:color="auto" w:fill="auto"/>
          </w:tcPr>
          <w:p w:rsidR="002F1276" w:rsidRDefault="002F1276" w:rsidP="00D06C7C">
            <w:pPr>
              <w:tabs>
                <w:tab w:val="left" w:pos="741"/>
                <w:tab w:val="left" w:pos="1985"/>
              </w:tabs>
              <w:snapToGrid w:val="0"/>
              <w:spacing w:before="0"/>
              <w:ind w:firstLine="34"/>
              <w:contextualSpacing/>
              <w:jc w:val="both"/>
              <w:rPr>
                <w:b/>
              </w:rPr>
            </w:pPr>
          </w:p>
        </w:tc>
        <w:tc>
          <w:tcPr>
            <w:tcW w:w="7229" w:type="dxa"/>
            <w:gridSpan w:val="4"/>
            <w:shd w:val="clear" w:color="auto" w:fill="auto"/>
          </w:tcPr>
          <w:p w:rsidR="002F1276" w:rsidRPr="00E47ADC" w:rsidRDefault="002F1276" w:rsidP="007C5109">
            <w:pPr>
              <w:spacing w:before="0" w:after="0"/>
            </w:pPr>
            <w:r w:rsidRPr="00E47ADC">
              <w:t>There were no declarations of interest, nor updates to the Trust Board register of interests as currently published on the NBT website and annexed to the Board papers.</w:t>
            </w:r>
          </w:p>
        </w:tc>
        <w:tc>
          <w:tcPr>
            <w:tcW w:w="1134" w:type="dxa"/>
            <w:tcBorders>
              <w:left w:val="nil"/>
            </w:tcBorders>
            <w:shd w:val="clear" w:color="auto" w:fill="auto"/>
          </w:tcPr>
          <w:p w:rsidR="002F1276" w:rsidRDefault="002F1276" w:rsidP="00980139">
            <w:pPr>
              <w:tabs>
                <w:tab w:val="left" w:pos="1985"/>
              </w:tabs>
              <w:snapToGrid w:val="0"/>
              <w:ind w:right="-108"/>
              <w:contextualSpacing/>
              <w:jc w:val="both"/>
              <w:rPr>
                <w:b/>
              </w:rPr>
            </w:pPr>
          </w:p>
          <w:p w:rsidR="002F1276" w:rsidRDefault="002F1276" w:rsidP="00980139">
            <w:pPr>
              <w:tabs>
                <w:tab w:val="left" w:pos="1985"/>
              </w:tabs>
              <w:snapToGrid w:val="0"/>
              <w:ind w:right="-108"/>
              <w:contextualSpacing/>
              <w:jc w:val="both"/>
              <w:rPr>
                <w:b/>
              </w:rPr>
            </w:pPr>
          </w:p>
          <w:p w:rsidR="002F1276" w:rsidRDefault="002F1276" w:rsidP="00980139">
            <w:pPr>
              <w:tabs>
                <w:tab w:val="left" w:pos="1985"/>
              </w:tabs>
              <w:snapToGrid w:val="0"/>
              <w:ind w:right="-108"/>
              <w:contextualSpacing/>
              <w:jc w:val="both"/>
              <w:rPr>
                <w:b/>
              </w:rPr>
            </w:pPr>
          </w:p>
          <w:p w:rsidR="002F1276" w:rsidRDefault="002F1276" w:rsidP="00980139">
            <w:pPr>
              <w:tabs>
                <w:tab w:val="left" w:pos="1985"/>
              </w:tabs>
              <w:snapToGrid w:val="0"/>
              <w:ind w:right="-108"/>
              <w:contextualSpacing/>
              <w:jc w:val="both"/>
              <w:rPr>
                <w:b/>
              </w:rPr>
            </w:pPr>
          </w:p>
        </w:tc>
      </w:tr>
      <w:tr w:rsidR="002F1276" w:rsidTr="005A5F70">
        <w:tblPrEx>
          <w:tblBorders>
            <w:insideH w:val="none" w:sz="0" w:space="0" w:color="auto"/>
            <w:insideV w:val="none" w:sz="0" w:space="0" w:color="auto"/>
          </w:tblBorders>
        </w:tblPrEx>
        <w:trPr>
          <w:gridBefore w:val="1"/>
          <w:gridAfter w:val="1"/>
          <w:wBefore w:w="425" w:type="dxa"/>
          <w:wAfter w:w="284" w:type="dxa"/>
          <w:trHeight w:val="460"/>
        </w:trPr>
        <w:tc>
          <w:tcPr>
            <w:tcW w:w="1702" w:type="dxa"/>
            <w:shd w:val="clear" w:color="auto" w:fill="auto"/>
          </w:tcPr>
          <w:p w:rsidR="002F1276" w:rsidRDefault="002F1276" w:rsidP="00B5378B">
            <w:pPr>
              <w:tabs>
                <w:tab w:val="left" w:pos="1985"/>
              </w:tabs>
              <w:contextualSpacing/>
              <w:jc w:val="both"/>
            </w:pPr>
            <w:r>
              <w:rPr>
                <w:b/>
              </w:rPr>
              <w:t>TB/20/09/03</w:t>
            </w:r>
          </w:p>
        </w:tc>
        <w:tc>
          <w:tcPr>
            <w:tcW w:w="7229" w:type="dxa"/>
            <w:gridSpan w:val="4"/>
            <w:shd w:val="clear" w:color="auto" w:fill="auto"/>
          </w:tcPr>
          <w:p w:rsidR="002F1276" w:rsidRPr="000353B1" w:rsidRDefault="002F1276" w:rsidP="00EF4C7A">
            <w:pPr>
              <w:spacing w:before="0" w:after="0"/>
              <w:rPr>
                <w:b/>
                <w:lang w:eastAsia="en-US"/>
              </w:rPr>
            </w:pPr>
            <w:r>
              <w:rPr>
                <w:b/>
                <w:lang w:eastAsia="en-US"/>
              </w:rPr>
              <w:t xml:space="preserve">Minutes of the previous Public Trust Board Meeting </w:t>
            </w:r>
          </w:p>
        </w:tc>
        <w:tc>
          <w:tcPr>
            <w:tcW w:w="1134" w:type="dxa"/>
            <w:shd w:val="clear" w:color="auto" w:fill="auto"/>
          </w:tcPr>
          <w:p w:rsidR="002F1276" w:rsidRDefault="002F1276" w:rsidP="00980139">
            <w:pPr>
              <w:tabs>
                <w:tab w:val="left" w:pos="1985"/>
              </w:tabs>
              <w:snapToGrid w:val="0"/>
              <w:ind w:right="-108"/>
              <w:contextualSpacing/>
              <w:jc w:val="both"/>
              <w:rPr>
                <w:b/>
              </w:rPr>
            </w:pPr>
          </w:p>
        </w:tc>
      </w:tr>
      <w:tr w:rsidR="002F1276" w:rsidTr="00E44A21">
        <w:tblPrEx>
          <w:tblBorders>
            <w:insideH w:val="none" w:sz="0" w:space="0" w:color="auto"/>
            <w:insideV w:val="none" w:sz="0" w:space="0" w:color="auto"/>
          </w:tblBorders>
        </w:tblPrEx>
        <w:trPr>
          <w:gridBefore w:val="1"/>
          <w:gridAfter w:val="1"/>
          <w:wBefore w:w="425" w:type="dxa"/>
          <w:wAfter w:w="284" w:type="dxa"/>
        </w:trPr>
        <w:tc>
          <w:tcPr>
            <w:tcW w:w="1702" w:type="dxa"/>
            <w:shd w:val="clear" w:color="auto" w:fill="auto"/>
          </w:tcPr>
          <w:p w:rsidR="002F1276" w:rsidRDefault="002F1276" w:rsidP="00980139">
            <w:pPr>
              <w:tabs>
                <w:tab w:val="left" w:pos="1985"/>
              </w:tabs>
              <w:snapToGrid w:val="0"/>
              <w:contextualSpacing/>
              <w:jc w:val="both"/>
              <w:rPr>
                <w:b/>
              </w:rPr>
            </w:pPr>
          </w:p>
        </w:tc>
        <w:tc>
          <w:tcPr>
            <w:tcW w:w="7229" w:type="dxa"/>
            <w:gridSpan w:val="4"/>
            <w:shd w:val="clear" w:color="auto" w:fill="auto"/>
          </w:tcPr>
          <w:p w:rsidR="002F1276" w:rsidRDefault="002F1276" w:rsidP="00160C83">
            <w:pPr>
              <w:spacing w:before="0" w:after="0"/>
              <w:rPr>
                <w:rFonts w:eastAsia="MS Mincho;ＭＳ 明朝"/>
                <w:b/>
              </w:rPr>
            </w:pPr>
            <w:r w:rsidRPr="007C5109">
              <w:rPr>
                <w:rFonts w:eastAsia="MS Mincho;ＭＳ 明朝"/>
                <w:b/>
              </w:rPr>
              <w:t xml:space="preserve">RESOLVED that the minutes of the public meeting held on </w:t>
            </w:r>
            <w:r>
              <w:rPr>
                <w:b/>
                <w:lang w:eastAsia="en-US"/>
              </w:rPr>
              <w:t>30 July</w:t>
            </w:r>
            <w:r w:rsidRPr="007C5109">
              <w:rPr>
                <w:b/>
                <w:lang w:eastAsia="en-US"/>
              </w:rPr>
              <w:t xml:space="preserve"> 2020 </w:t>
            </w:r>
            <w:r w:rsidRPr="007C5109">
              <w:rPr>
                <w:rFonts w:eastAsia="MS Mincho;ＭＳ 明朝"/>
                <w:b/>
              </w:rPr>
              <w:t>be approved as a true and correct record</w:t>
            </w:r>
            <w:r>
              <w:rPr>
                <w:rFonts w:eastAsia="MS Mincho;ＭＳ 明朝"/>
                <w:b/>
              </w:rPr>
              <w:t>.</w:t>
            </w:r>
          </w:p>
          <w:p w:rsidR="002F1276" w:rsidRPr="007810A0" w:rsidRDefault="002F1276" w:rsidP="00160C83">
            <w:pPr>
              <w:spacing w:before="0" w:after="0"/>
              <w:rPr>
                <w:rFonts w:eastAsia="MS Mincho;ＭＳ 明朝"/>
                <w:b/>
                <w:sz w:val="4"/>
                <w:szCs w:val="4"/>
              </w:rPr>
            </w:pPr>
          </w:p>
          <w:p w:rsidR="002F1276" w:rsidRDefault="002F1276" w:rsidP="001F3A71">
            <w:pPr>
              <w:spacing w:before="0" w:after="0"/>
            </w:pPr>
          </w:p>
        </w:tc>
        <w:tc>
          <w:tcPr>
            <w:tcW w:w="1134" w:type="dxa"/>
            <w:shd w:val="clear" w:color="auto" w:fill="auto"/>
          </w:tcPr>
          <w:p w:rsidR="002F1276" w:rsidRDefault="002F1276" w:rsidP="00980139">
            <w:pPr>
              <w:tabs>
                <w:tab w:val="left" w:pos="1985"/>
              </w:tabs>
              <w:snapToGrid w:val="0"/>
              <w:ind w:right="-108"/>
              <w:contextualSpacing/>
              <w:jc w:val="both"/>
              <w:rPr>
                <w:rFonts w:eastAsia="MS Mincho;ＭＳ 明朝"/>
                <w:b/>
              </w:rPr>
            </w:pPr>
          </w:p>
          <w:p w:rsidR="002F1276" w:rsidRDefault="002F1276" w:rsidP="00980139">
            <w:pPr>
              <w:tabs>
                <w:tab w:val="left" w:pos="1985"/>
              </w:tabs>
              <w:snapToGrid w:val="0"/>
              <w:ind w:right="-108"/>
              <w:contextualSpacing/>
              <w:jc w:val="both"/>
              <w:rPr>
                <w:rFonts w:eastAsia="MS Mincho;ＭＳ 明朝"/>
                <w:b/>
              </w:rPr>
            </w:pPr>
          </w:p>
          <w:p w:rsidR="002F1276" w:rsidRDefault="002F1276" w:rsidP="00980139">
            <w:pPr>
              <w:tabs>
                <w:tab w:val="left" w:pos="1985"/>
              </w:tabs>
              <w:snapToGrid w:val="0"/>
              <w:ind w:right="-108"/>
              <w:contextualSpacing/>
              <w:jc w:val="both"/>
              <w:rPr>
                <w:rFonts w:eastAsia="MS Mincho;ＭＳ 明朝"/>
                <w:b/>
              </w:rPr>
            </w:pPr>
          </w:p>
        </w:tc>
      </w:tr>
      <w:tr w:rsidR="002F1276" w:rsidTr="00E44A21">
        <w:tblPrEx>
          <w:tblBorders>
            <w:insideH w:val="none" w:sz="0" w:space="0" w:color="auto"/>
            <w:insideV w:val="none" w:sz="0" w:space="0" w:color="auto"/>
          </w:tblBorders>
        </w:tblPrEx>
        <w:trPr>
          <w:gridBefore w:val="1"/>
          <w:gridAfter w:val="1"/>
          <w:wBefore w:w="425" w:type="dxa"/>
          <w:wAfter w:w="284" w:type="dxa"/>
        </w:trPr>
        <w:tc>
          <w:tcPr>
            <w:tcW w:w="1702" w:type="dxa"/>
            <w:shd w:val="clear" w:color="auto" w:fill="auto"/>
          </w:tcPr>
          <w:p w:rsidR="002F1276" w:rsidRDefault="002F1276" w:rsidP="00F937D0">
            <w:pPr>
              <w:tabs>
                <w:tab w:val="left" w:pos="1985"/>
              </w:tabs>
              <w:contextualSpacing/>
              <w:jc w:val="both"/>
            </w:pPr>
            <w:r>
              <w:rPr>
                <w:b/>
              </w:rPr>
              <w:t>TB/20/09/04</w:t>
            </w:r>
          </w:p>
        </w:tc>
        <w:tc>
          <w:tcPr>
            <w:tcW w:w="7229" w:type="dxa"/>
            <w:gridSpan w:val="4"/>
            <w:shd w:val="clear" w:color="auto" w:fill="auto"/>
          </w:tcPr>
          <w:p w:rsidR="002F1276" w:rsidRDefault="002F1276" w:rsidP="00017323">
            <w:pPr>
              <w:tabs>
                <w:tab w:val="left" w:pos="1985"/>
              </w:tabs>
              <w:contextualSpacing/>
              <w:rPr>
                <w:rFonts w:eastAsia="MS Mincho;ＭＳ 明朝"/>
                <w:b/>
              </w:rPr>
            </w:pPr>
            <w:r>
              <w:rPr>
                <w:rFonts w:eastAsia="MS Mincho;ＭＳ 明朝"/>
                <w:b/>
              </w:rPr>
              <w:t>Action Log and Matters Arising from the Previous Meeting</w:t>
            </w:r>
          </w:p>
          <w:p w:rsidR="002F1276" w:rsidRPr="002967DC" w:rsidRDefault="002F1276" w:rsidP="00017323">
            <w:pPr>
              <w:tabs>
                <w:tab w:val="left" w:pos="1985"/>
              </w:tabs>
              <w:contextualSpacing/>
              <w:rPr>
                <w:b/>
                <w:sz w:val="10"/>
                <w:szCs w:val="10"/>
              </w:rPr>
            </w:pPr>
          </w:p>
        </w:tc>
        <w:tc>
          <w:tcPr>
            <w:tcW w:w="1134" w:type="dxa"/>
            <w:shd w:val="clear" w:color="auto" w:fill="auto"/>
          </w:tcPr>
          <w:p w:rsidR="002F1276" w:rsidRDefault="002F1276" w:rsidP="00980139">
            <w:pPr>
              <w:tabs>
                <w:tab w:val="left" w:pos="1985"/>
              </w:tabs>
              <w:snapToGrid w:val="0"/>
              <w:ind w:right="-108"/>
              <w:contextualSpacing/>
              <w:jc w:val="both"/>
              <w:rPr>
                <w:b/>
              </w:rPr>
            </w:pPr>
          </w:p>
        </w:tc>
      </w:tr>
      <w:tr w:rsidR="002F1276" w:rsidTr="00E44A21">
        <w:tblPrEx>
          <w:tblBorders>
            <w:insideH w:val="none" w:sz="0" w:space="0" w:color="auto"/>
            <w:insideV w:val="none" w:sz="0" w:space="0" w:color="auto"/>
          </w:tblBorders>
        </w:tblPrEx>
        <w:trPr>
          <w:gridBefore w:val="1"/>
          <w:gridAfter w:val="1"/>
          <w:wBefore w:w="425" w:type="dxa"/>
          <w:wAfter w:w="284" w:type="dxa"/>
        </w:trPr>
        <w:tc>
          <w:tcPr>
            <w:tcW w:w="1702" w:type="dxa"/>
            <w:shd w:val="clear" w:color="auto" w:fill="auto"/>
          </w:tcPr>
          <w:p w:rsidR="002F1276" w:rsidRDefault="002F1276" w:rsidP="00980139">
            <w:pPr>
              <w:tabs>
                <w:tab w:val="left" w:pos="1985"/>
              </w:tabs>
              <w:snapToGrid w:val="0"/>
              <w:contextualSpacing/>
              <w:jc w:val="both"/>
              <w:rPr>
                <w:b/>
              </w:rPr>
            </w:pPr>
          </w:p>
        </w:tc>
        <w:tc>
          <w:tcPr>
            <w:tcW w:w="7229" w:type="dxa"/>
            <w:gridSpan w:val="4"/>
            <w:shd w:val="clear" w:color="auto" w:fill="auto"/>
          </w:tcPr>
          <w:p w:rsidR="002F1276" w:rsidRDefault="002F1276" w:rsidP="00E47ADC">
            <w:pPr>
              <w:tabs>
                <w:tab w:val="left" w:pos="1985"/>
              </w:tabs>
              <w:contextualSpacing/>
              <w:rPr>
                <w:lang w:eastAsia="en-US"/>
              </w:rPr>
            </w:pPr>
            <w:r>
              <w:rPr>
                <w:lang w:eastAsia="en-US"/>
              </w:rPr>
              <w:t>It was noted that Action 19 would be discussed later in the meeting and Action 22 was delayed due to Covid-19.</w:t>
            </w:r>
          </w:p>
          <w:p w:rsidR="002F1276" w:rsidRPr="00F27715" w:rsidRDefault="002F1276" w:rsidP="00E47ADC">
            <w:pPr>
              <w:tabs>
                <w:tab w:val="left" w:pos="1985"/>
              </w:tabs>
              <w:contextualSpacing/>
              <w:rPr>
                <w:lang w:eastAsia="en-US"/>
              </w:rPr>
            </w:pPr>
            <w:r>
              <w:rPr>
                <w:u w:val="single"/>
                <w:lang w:eastAsia="en-US"/>
              </w:rPr>
              <w:t>Matters A</w:t>
            </w:r>
            <w:r w:rsidRPr="00E47ADC">
              <w:rPr>
                <w:u w:val="single"/>
                <w:lang w:eastAsia="en-US"/>
              </w:rPr>
              <w:t>rising</w:t>
            </w:r>
            <w:r>
              <w:rPr>
                <w:u w:val="single"/>
                <w:lang w:eastAsia="en-US"/>
              </w:rPr>
              <w:t xml:space="preserve"> - Co</w:t>
            </w:r>
            <w:r w:rsidRPr="007810A0">
              <w:rPr>
                <w:u w:val="single"/>
                <w:lang w:eastAsia="en-US"/>
              </w:rPr>
              <w:t>vid-19</w:t>
            </w:r>
          </w:p>
          <w:p w:rsidR="002F1276" w:rsidRDefault="002F1276" w:rsidP="00E47ADC">
            <w:pPr>
              <w:tabs>
                <w:tab w:val="left" w:pos="1985"/>
              </w:tabs>
              <w:rPr>
                <w:lang w:eastAsia="en-US"/>
              </w:rPr>
            </w:pPr>
          </w:p>
          <w:p w:rsidR="002F1276" w:rsidRDefault="002F1276" w:rsidP="00E47ADC">
            <w:pPr>
              <w:tabs>
                <w:tab w:val="left" w:pos="1985"/>
              </w:tabs>
              <w:rPr>
                <w:lang w:eastAsia="en-US"/>
              </w:rPr>
            </w:pPr>
            <w:r>
              <w:rPr>
                <w:lang w:eastAsia="en-US"/>
              </w:rPr>
              <w:t xml:space="preserve">Simon Wood, </w:t>
            </w:r>
            <w:r>
              <w:t>Director of Estates, Facilities &amp; Capital Planning</w:t>
            </w:r>
            <w:r>
              <w:rPr>
                <w:lang w:eastAsia="en-US"/>
              </w:rPr>
              <w:t xml:space="preserve">, updated the Board regarding Covid-19 measures taken in the hospital. Masks and hand sanitisers were available at all entrances to the building with the main entrance supervised by the security team. The last of the clear screens for reception areas were being established and the majority of offices were now Covid-19 secure areas. Covid-19 secure offices had a number of criteria to meet and were audited weekly. Lastly, clear screens between office desks were due to be being trialled in two offices. </w:t>
            </w:r>
          </w:p>
          <w:p w:rsidR="002F1276" w:rsidRDefault="002F1276" w:rsidP="003748E4">
            <w:pPr>
              <w:tabs>
                <w:tab w:val="left" w:pos="1985"/>
              </w:tabs>
              <w:rPr>
                <w:lang w:eastAsia="en-US"/>
              </w:rPr>
            </w:pPr>
            <w:r>
              <w:rPr>
                <w:lang w:eastAsia="en-US"/>
              </w:rPr>
              <w:t xml:space="preserve">Tim Gregory, NED and deputy chair, queried how NBT was ensuring staff stayed socially distanced in social areas in the Trust. Simon Wood replied that an additional canteen with 100 appropriately distanced seats had been provided until July 2021; distancing posters and signs acted as reminders; a Communications campaign had been relaunched; and 40% of chairs had been removed from Vu canteen. However, it was acknowledged that individual staff culture change of keeping socially distant was an ongoing challenge. </w:t>
            </w:r>
          </w:p>
          <w:p w:rsidR="002F1276" w:rsidRPr="004D5CBC" w:rsidRDefault="002F1276" w:rsidP="003748E4">
            <w:pPr>
              <w:tabs>
                <w:tab w:val="left" w:pos="1985"/>
              </w:tabs>
              <w:rPr>
                <w:lang w:eastAsia="en-US"/>
              </w:rPr>
            </w:pPr>
            <w:r>
              <w:rPr>
                <w:lang w:eastAsia="en-US"/>
              </w:rPr>
              <w:t xml:space="preserve">Tim Gregory further queried how the Trust was managing balancing staff working on-site and from home. Andrea Young, Chief Executive, highlighted that the flexible home working policy approved and disseminated the previous month provided guidelines to support those working from home and that completion of individual risk assessments had been helpful to highlight additional support required. It was felt that the Trust had the correct stance regarding making on-site offices Covid-19 secure and working from home achievable to enable individuals to be able to work efficiently from either venue, as appropriate. Jacqui Marshall, Director of People and Transformation, noted the Trust was still learning from the situation and huge societal change. In reflection of this, the recently released NHS People Plan stipulated that all NHS roles must be advertised as ‘flexible working’ from January 2021. </w:t>
            </w:r>
          </w:p>
          <w:p w:rsidR="002F1276" w:rsidRPr="00B9653D" w:rsidRDefault="002F1276" w:rsidP="00C76AEC">
            <w:pPr>
              <w:tabs>
                <w:tab w:val="left" w:pos="1985"/>
              </w:tabs>
              <w:rPr>
                <w:lang w:eastAsia="en-US"/>
              </w:rPr>
            </w:pPr>
            <w:r>
              <w:rPr>
                <w:lang w:eastAsia="en-US"/>
              </w:rPr>
              <w:t>After a query regarding s</w:t>
            </w:r>
            <w:r w:rsidRPr="00C76AEC">
              <w:rPr>
                <w:lang w:eastAsia="en-US"/>
              </w:rPr>
              <w:t>ensitivity of patient information and people</w:t>
            </w:r>
            <w:r>
              <w:rPr>
                <w:lang w:eastAsia="en-US"/>
              </w:rPr>
              <w:t xml:space="preserve"> working from home, Neil Darvill, Director of IM&amp;T, noted that the biggest patient information risk was from papers left in inappropriate places. This was now largely mitigated due to NBT’s digitisation of medical records. </w:t>
            </w:r>
          </w:p>
          <w:p w:rsidR="002F1276" w:rsidRDefault="002F1276" w:rsidP="00C76AEC">
            <w:pPr>
              <w:tabs>
                <w:tab w:val="left" w:pos="1985"/>
              </w:tabs>
              <w:rPr>
                <w:b/>
                <w:lang w:eastAsia="en-US"/>
              </w:rPr>
            </w:pPr>
            <w:r w:rsidRPr="002967DC">
              <w:rPr>
                <w:b/>
                <w:lang w:eastAsia="en-US"/>
              </w:rPr>
              <w:t>RESOLVED that</w:t>
            </w:r>
            <w:r>
              <w:rPr>
                <w:b/>
                <w:lang w:eastAsia="en-US"/>
              </w:rPr>
              <w:t xml:space="preserve"> updates on the Action Log and discussion regarding Covid-19 as a matter arising be noted. </w:t>
            </w:r>
          </w:p>
          <w:p w:rsidR="002F1276" w:rsidRDefault="002F1276" w:rsidP="00C76AEC">
            <w:pPr>
              <w:tabs>
                <w:tab w:val="left" w:pos="1985"/>
              </w:tabs>
            </w:pPr>
          </w:p>
        </w:tc>
        <w:tc>
          <w:tcPr>
            <w:tcW w:w="1134" w:type="dxa"/>
            <w:shd w:val="clear" w:color="auto" w:fill="auto"/>
          </w:tcPr>
          <w:p w:rsidR="002F1276" w:rsidRDefault="002F1276" w:rsidP="00980139">
            <w:pPr>
              <w:tabs>
                <w:tab w:val="left" w:pos="1985"/>
              </w:tabs>
              <w:snapToGrid w:val="0"/>
              <w:ind w:right="-108"/>
              <w:contextualSpacing/>
              <w:jc w:val="both"/>
              <w:rPr>
                <w:b/>
              </w:rPr>
            </w:pPr>
          </w:p>
          <w:p w:rsidR="002F1276" w:rsidRDefault="002F1276" w:rsidP="00980139">
            <w:pPr>
              <w:tabs>
                <w:tab w:val="left" w:pos="1985"/>
              </w:tabs>
              <w:ind w:right="-108"/>
              <w:contextualSpacing/>
              <w:jc w:val="both"/>
              <w:rPr>
                <w:b/>
              </w:rPr>
            </w:pPr>
          </w:p>
          <w:p w:rsidR="002F1276" w:rsidRDefault="002F1276" w:rsidP="00980139">
            <w:pPr>
              <w:tabs>
                <w:tab w:val="left" w:pos="1985"/>
              </w:tabs>
              <w:ind w:right="-108"/>
              <w:contextualSpacing/>
              <w:jc w:val="both"/>
              <w:rPr>
                <w:b/>
              </w:rPr>
            </w:pPr>
          </w:p>
          <w:p w:rsidR="002F1276" w:rsidRDefault="002F1276" w:rsidP="009F296A">
            <w:pPr>
              <w:tabs>
                <w:tab w:val="left" w:pos="1985"/>
              </w:tabs>
              <w:ind w:right="-108"/>
              <w:contextualSpacing/>
              <w:jc w:val="both"/>
              <w:rPr>
                <w:b/>
              </w:rPr>
            </w:pPr>
          </w:p>
        </w:tc>
      </w:tr>
      <w:tr w:rsidR="002F1276" w:rsidTr="00E44A21">
        <w:tblPrEx>
          <w:tblBorders>
            <w:insideH w:val="none" w:sz="0" w:space="0" w:color="auto"/>
            <w:insideV w:val="none" w:sz="0" w:space="0" w:color="auto"/>
          </w:tblBorders>
        </w:tblPrEx>
        <w:trPr>
          <w:gridBefore w:val="1"/>
          <w:gridAfter w:val="1"/>
          <w:wBefore w:w="425" w:type="dxa"/>
          <w:wAfter w:w="284" w:type="dxa"/>
        </w:trPr>
        <w:tc>
          <w:tcPr>
            <w:tcW w:w="1702" w:type="dxa"/>
            <w:shd w:val="clear" w:color="auto" w:fill="auto"/>
          </w:tcPr>
          <w:p w:rsidR="002F1276" w:rsidRDefault="002F1276" w:rsidP="00AE01E8">
            <w:pPr>
              <w:tabs>
                <w:tab w:val="left" w:pos="1985"/>
              </w:tabs>
              <w:contextualSpacing/>
              <w:jc w:val="both"/>
              <w:rPr>
                <w:b/>
              </w:rPr>
            </w:pPr>
            <w:r>
              <w:rPr>
                <w:b/>
              </w:rPr>
              <w:t>TB/20/09/05</w:t>
            </w:r>
          </w:p>
        </w:tc>
        <w:tc>
          <w:tcPr>
            <w:tcW w:w="7229" w:type="dxa"/>
            <w:gridSpan w:val="4"/>
            <w:shd w:val="clear" w:color="auto" w:fill="auto"/>
          </w:tcPr>
          <w:p w:rsidR="002F1276" w:rsidRPr="00BF396B" w:rsidRDefault="002F1276" w:rsidP="00E24A00">
            <w:pPr>
              <w:tabs>
                <w:tab w:val="left" w:pos="1985"/>
              </w:tabs>
              <w:spacing w:after="0"/>
              <w:contextualSpacing/>
              <w:rPr>
                <w:b/>
              </w:rPr>
            </w:pPr>
            <w:r>
              <w:rPr>
                <w:b/>
              </w:rPr>
              <w:t>Chair’s Business</w:t>
            </w:r>
          </w:p>
        </w:tc>
        <w:tc>
          <w:tcPr>
            <w:tcW w:w="1134" w:type="dxa"/>
            <w:shd w:val="clear" w:color="auto" w:fill="auto"/>
          </w:tcPr>
          <w:p w:rsidR="002F1276" w:rsidRDefault="002F1276" w:rsidP="00980139">
            <w:pPr>
              <w:tabs>
                <w:tab w:val="left" w:pos="1985"/>
              </w:tabs>
              <w:snapToGrid w:val="0"/>
              <w:ind w:right="-108"/>
              <w:contextualSpacing/>
              <w:jc w:val="both"/>
              <w:rPr>
                <w:b/>
              </w:rPr>
            </w:pPr>
          </w:p>
          <w:p w:rsidR="002F1276" w:rsidRDefault="002F1276" w:rsidP="00347D80">
            <w:pPr>
              <w:tabs>
                <w:tab w:val="left" w:pos="1985"/>
              </w:tabs>
              <w:snapToGrid w:val="0"/>
              <w:ind w:right="-108"/>
              <w:contextualSpacing/>
              <w:jc w:val="both"/>
              <w:rPr>
                <w:b/>
              </w:rPr>
            </w:pPr>
          </w:p>
        </w:tc>
      </w:tr>
      <w:tr w:rsidR="002F1276" w:rsidTr="00E44A21">
        <w:tblPrEx>
          <w:tblBorders>
            <w:insideH w:val="none" w:sz="0" w:space="0" w:color="auto"/>
            <w:insideV w:val="none" w:sz="0" w:space="0" w:color="auto"/>
          </w:tblBorders>
        </w:tblPrEx>
        <w:trPr>
          <w:gridBefore w:val="1"/>
          <w:gridAfter w:val="1"/>
          <w:wBefore w:w="425" w:type="dxa"/>
          <w:wAfter w:w="284" w:type="dxa"/>
        </w:trPr>
        <w:tc>
          <w:tcPr>
            <w:tcW w:w="1702" w:type="dxa"/>
            <w:shd w:val="clear" w:color="auto" w:fill="auto"/>
          </w:tcPr>
          <w:p w:rsidR="002F1276" w:rsidRDefault="002F1276" w:rsidP="00347D80">
            <w:pPr>
              <w:tabs>
                <w:tab w:val="left" w:pos="1985"/>
              </w:tabs>
              <w:contextualSpacing/>
              <w:jc w:val="both"/>
              <w:rPr>
                <w:b/>
              </w:rPr>
            </w:pPr>
          </w:p>
        </w:tc>
        <w:tc>
          <w:tcPr>
            <w:tcW w:w="7229" w:type="dxa"/>
            <w:gridSpan w:val="4"/>
            <w:shd w:val="clear" w:color="auto" w:fill="auto"/>
          </w:tcPr>
          <w:p w:rsidR="002F1276" w:rsidRDefault="002F1276" w:rsidP="00333685">
            <w:pPr>
              <w:tabs>
                <w:tab w:val="left" w:pos="1985"/>
              </w:tabs>
              <w:spacing w:before="0"/>
              <w:rPr>
                <w:lang w:eastAsia="en-US"/>
              </w:rPr>
            </w:pPr>
            <w:r>
              <w:rPr>
                <w:lang w:eastAsia="en-US"/>
              </w:rPr>
              <w:t xml:space="preserve">John </w:t>
            </w:r>
            <w:proofErr w:type="spellStart"/>
            <w:r>
              <w:rPr>
                <w:lang w:eastAsia="en-US"/>
              </w:rPr>
              <w:t>Iredale</w:t>
            </w:r>
            <w:proofErr w:type="spellEnd"/>
            <w:r>
              <w:rPr>
                <w:lang w:eastAsia="en-US"/>
              </w:rPr>
              <w:t xml:space="preserve">, NED, updated the Board regarding the Acute Services Review (ASR). The first ASR Programme Board took place the previous week and was a joint committee with University Hospital Bristol and Weston (UHBW) to review acute services across Bristol. The Programme Board was chaired by John </w:t>
            </w:r>
            <w:proofErr w:type="spellStart"/>
            <w:r>
              <w:rPr>
                <w:lang w:eastAsia="en-US"/>
              </w:rPr>
              <w:t>Iredale</w:t>
            </w:r>
            <w:proofErr w:type="spellEnd"/>
            <w:r>
              <w:rPr>
                <w:lang w:eastAsia="en-US"/>
              </w:rPr>
              <w:t xml:space="preserve"> for NBT and Jane Nee for UHBW and supported by Trust Secretaries from both organisations. Alongside approval of the Terms of Reference, three major work-streams were agreed at the ASR Programme Board: </w:t>
            </w:r>
          </w:p>
          <w:p w:rsidR="002F1276" w:rsidRPr="00CA0895" w:rsidRDefault="002F1276" w:rsidP="00CA0895">
            <w:pPr>
              <w:pStyle w:val="ListParagraph"/>
              <w:numPr>
                <w:ilvl w:val="0"/>
                <w:numId w:val="39"/>
              </w:numPr>
              <w:tabs>
                <w:tab w:val="left" w:pos="1985"/>
              </w:tabs>
              <w:spacing w:before="0"/>
              <w:rPr>
                <w:rFonts w:ascii="Arial" w:hAnsi="Arial" w:cs="Arial"/>
                <w:lang w:eastAsia="en-US"/>
              </w:rPr>
            </w:pPr>
            <w:r>
              <w:rPr>
                <w:rFonts w:ascii="Arial" w:hAnsi="Arial" w:cs="Arial"/>
                <w:lang w:eastAsia="en-US"/>
              </w:rPr>
              <w:t>Which p</w:t>
            </w:r>
            <w:r w:rsidRPr="00CA0895">
              <w:rPr>
                <w:rFonts w:ascii="Arial" w:hAnsi="Arial" w:cs="Arial"/>
                <w:lang w:eastAsia="en-US"/>
              </w:rPr>
              <w:t>riori</w:t>
            </w:r>
            <w:r>
              <w:rPr>
                <w:rFonts w:ascii="Arial" w:hAnsi="Arial" w:cs="Arial"/>
                <w:lang w:eastAsia="en-US"/>
              </w:rPr>
              <w:t>ty clinical pathways to review;</w:t>
            </w:r>
          </w:p>
          <w:p w:rsidR="002F1276" w:rsidRPr="00CA0895" w:rsidRDefault="002F1276" w:rsidP="00CA0895">
            <w:pPr>
              <w:pStyle w:val="ListParagraph"/>
              <w:numPr>
                <w:ilvl w:val="0"/>
                <w:numId w:val="39"/>
              </w:numPr>
              <w:tabs>
                <w:tab w:val="left" w:pos="1985"/>
              </w:tabs>
              <w:spacing w:before="0"/>
              <w:rPr>
                <w:rFonts w:ascii="Arial" w:hAnsi="Arial" w:cs="Arial"/>
                <w:lang w:eastAsia="en-US"/>
              </w:rPr>
            </w:pPr>
            <w:r>
              <w:rPr>
                <w:rFonts w:ascii="Arial" w:hAnsi="Arial" w:cs="Arial"/>
                <w:lang w:eastAsia="en-US"/>
              </w:rPr>
              <w:t>H</w:t>
            </w:r>
            <w:r w:rsidRPr="00CA0895">
              <w:rPr>
                <w:rFonts w:ascii="Arial" w:hAnsi="Arial" w:cs="Arial"/>
                <w:lang w:eastAsia="en-US"/>
              </w:rPr>
              <w:t xml:space="preserve">ow </w:t>
            </w:r>
            <w:r>
              <w:rPr>
                <w:rFonts w:ascii="Arial" w:hAnsi="Arial" w:cs="Arial"/>
                <w:lang w:eastAsia="en-US"/>
              </w:rPr>
              <w:t xml:space="preserve">change can be </w:t>
            </w:r>
            <w:r w:rsidRPr="00CA0895">
              <w:rPr>
                <w:rFonts w:ascii="Arial" w:hAnsi="Arial" w:cs="Arial"/>
                <w:lang w:eastAsia="en-US"/>
              </w:rPr>
              <w:t>deliver</w:t>
            </w:r>
            <w:r>
              <w:rPr>
                <w:rFonts w:ascii="Arial" w:hAnsi="Arial" w:cs="Arial"/>
                <w:lang w:eastAsia="en-US"/>
              </w:rPr>
              <w:t xml:space="preserve">ed </w:t>
            </w:r>
            <w:r w:rsidRPr="00CA0895">
              <w:rPr>
                <w:rFonts w:ascii="Arial" w:hAnsi="Arial" w:cs="Arial"/>
                <w:lang w:eastAsia="en-US"/>
              </w:rPr>
              <w:t>in partnership</w:t>
            </w:r>
            <w:r>
              <w:rPr>
                <w:rFonts w:ascii="Arial" w:hAnsi="Arial" w:cs="Arial"/>
                <w:lang w:eastAsia="en-US"/>
              </w:rPr>
              <w:t>;</w:t>
            </w:r>
          </w:p>
          <w:p w:rsidR="002F1276" w:rsidRDefault="002F1276" w:rsidP="00CA0895">
            <w:pPr>
              <w:pStyle w:val="ListParagraph"/>
              <w:numPr>
                <w:ilvl w:val="0"/>
                <w:numId w:val="39"/>
              </w:numPr>
              <w:tabs>
                <w:tab w:val="left" w:pos="1985"/>
              </w:tabs>
              <w:spacing w:before="0"/>
              <w:rPr>
                <w:rFonts w:ascii="Arial" w:hAnsi="Arial" w:cs="Arial"/>
                <w:lang w:eastAsia="en-US"/>
              </w:rPr>
            </w:pPr>
            <w:r w:rsidRPr="00CA0895">
              <w:rPr>
                <w:rFonts w:ascii="Arial" w:hAnsi="Arial" w:cs="Arial"/>
                <w:lang w:eastAsia="en-US"/>
              </w:rPr>
              <w:t>Future programme of change</w:t>
            </w:r>
            <w:r>
              <w:rPr>
                <w:rFonts w:ascii="Arial" w:hAnsi="Arial" w:cs="Arial"/>
                <w:lang w:eastAsia="en-US"/>
              </w:rPr>
              <w:t>.</w:t>
            </w:r>
          </w:p>
          <w:p w:rsidR="002F1276" w:rsidRPr="00CA0895" w:rsidRDefault="002F1276" w:rsidP="00CA0895">
            <w:pPr>
              <w:tabs>
                <w:tab w:val="left" w:pos="1985"/>
              </w:tabs>
              <w:spacing w:before="0"/>
              <w:rPr>
                <w:lang w:eastAsia="en-US"/>
              </w:rPr>
            </w:pPr>
            <w:r>
              <w:rPr>
                <w:lang w:eastAsia="en-US"/>
              </w:rPr>
              <w:t>The Programme Board also reviewed the p</w:t>
            </w:r>
            <w:r w:rsidRPr="00CA0895">
              <w:rPr>
                <w:lang w:eastAsia="en-US"/>
              </w:rPr>
              <w:t>roject initiation</w:t>
            </w:r>
            <w:r>
              <w:rPr>
                <w:lang w:eastAsia="en-US"/>
              </w:rPr>
              <w:t xml:space="preserve"> </w:t>
            </w:r>
            <w:r w:rsidRPr="00CA0895">
              <w:rPr>
                <w:lang w:eastAsia="en-US"/>
              </w:rPr>
              <w:t>doc</w:t>
            </w:r>
            <w:r>
              <w:rPr>
                <w:lang w:eastAsia="en-US"/>
              </w:rPr>
              <w:t xml:space="preserve">ument and requested that the Memorandum of Understanding be </w:t>
            </w:r>
            <w:r w:rsidRPr="00CA0895">
              <w:rPr>
                <w:lang w:eastAsia="en-US"/>
              </w:rPr>
              <w:t xml:space="preserve">more aspirational. </w:t>
            </w:r>
          </w:p>
          <w:p w:rsidR="002F1276" w:rsidRDefault="002F1276" w:rsidP="00ED7F36">
            <w:pPr>
              <w:tabs>
                <w:tab w:val="left" w:pos="1985"/>
              </w:tabs>
              <w:spacing w:before="0"/>
            </w:pPr>
            <w:r>
              <w:t xml:space="preserve">Kelvin Blake, NED, queried how NBT Board and the public would be kept informed of ASR work. John </w:t>
            </w:r>
            <w:proofErr w:type="spellStart"/>
            <w:r>
              <w:t>Iredale</w:t>
            </w:r>
            <w:proofErr w:type="spellEnd"/>
            <w:r>
              <w:t xml:space="preserve"> responded that all ASR documentation was available on Diligent reading room for NEDs to view and directed NEDs to the project initiation document in particular. An action regarding how to disseminate the work wider had been taken by ASR Board members following the first meeting.</w:t>
            </w:r>
          </w:p>
          <w:p w:rsidR="002F1276" w:rsidRDefault="002F1276" w:rsidP="00BF396B">
            <w:pPr>
              <w:tabs>
                <w:tab w:val="left" w:pos="1985"/>
              </w:tabs>
              <w:spacing w:before="0" w:after="0"/>
              <w:contextualSpacing/>
              <w:rPr>
                <w:b/>
              </w:rPr>
            </w:pPr>
            <w:r w:rsidRPr="00BC1C90">
              <w:rPr>
                <w:b/>
              </w:rPr>
              <w:t>RESOLVED</w:t>
            </w:r>
            <w:r>
              <w:rPr>
                <w:b/>
              </w:rPr>
              <w:t xml:space="preserve"> </w:t>
            </w:r>
            <w:r w:rsidRPr="00E24A00">
              <w:rPr>
                <w:b/>
              </w:rPr>
              <w:t>that</w:t>
            </w:r>
            <w:r>
              <w:rPr>
                <w:b/>
              </w:rPr>
              <w:t xml:space="preserve"> the Chair’s briefing be noted</w:t>
            </w:r>
            <w:r w:rsidRPr="00E24A00">
              <w:rPr>
                <w:b/>
              </w:rPr>
              <w:t xml:space="preserve">. </w:t>
            </w:r>
          </w:p>
          <w:p w:rsidR="002F1276" w:rsidRPr="00BF396B" w:rsidRDefault="002F1276" w:rsidP="00BF396B">
            <w:pPr>
              <w:tabs>
                <w:tab w:val="left" w:pos="1985"/>
              </w:tabs>
              <w:spacing w:before="0" w:after="0"/>
              <w:contextualSpacing/>
            </w:pPr>
          </w:p>
          <w:p w:rsidR="002F1276" w:rsidRDefault="002F1276" w:rsidP="00E47ADC">
            <w:pPr>
              <w:tabs>
                <w:tab w:val="left" w:pos="1985"/>
              </w:tabs>
              <w:spacing w:before="0"/>
              <w:jc w:val="center"/>
              <w:rPr>
                <w:i/>
              </w:rPr>
            </w:pPr>
            <w:r>
              <w:rPr>
                <w:i/>
              </w:rPr>
              <w:t>{</w:t>
            </w:r>
            <w:r w:rsidRPr="00E47ADC">
              <w:rPr>
                <w:i/>
              </w:rPr>
              <w:t>LaToyah</w:t>
            </w:r>
            <w:r>
              <w:rPr>
                <w:i/>
              </w:rPr>
              <w:t xml:space="preserve"> McAllister-Jones</w:t>
            </w:r>
            <w:r w:rsidRPr="00E47ADC">
              <w:rPr>
                <w:i/>
              </w:rPr>
              <w:t xml:space="preserve"> and Ade</w:t>
            </w:r>
            <w:r>
              <w:rPr>
                <w:i/>
              </w:rPr>
              <w:t xml:space="preserve"> Williams joined the meeting}</w:t>
            </w:r>
          </w:p>
          <w:p w:rsidR="002F1276" w:rsidRPr="00BF396B" w:rsidRDefault="002F1276" w:rsidP="00E47ADC">
            <w:pPr>
              <w:tabs>
                <w:tab w:val="left" w:pos="1985"/>
              </w:tabs>
              <w:spacing w:before="0"/>
            </w:pPr>
          </w:p>
        </w:tc>
        <w:tc>
          <w:tcPr>
            <w:tcW w:w="1134" w:type="dxa"/>
            <w:shd w:val="clear" w:color="auto" w:fill="auto"/>
          </w:tcPr>
          <w:p w:rsidR="002F1276" w:rsidRDefault="002F1276" w:rsidP="00980139">
            <w:pPr>
              <w:tabs>
                <w:tab w:val="left" w:pos="1985"/>
              </w:tabs>
              <w:snapToGrid w:val="0"/>
              <w:ind w:right="-108"/>
              <w:contextualSpacing/>
              <w:jc w:val="both"/>
              <w:rPr>
                <w:b/>
              </w:rPr>
            </w:pPr>
          </w:p>
        </w:tc>
      </w:tr>
      <w:tr w:rsidR="002F1276" w:rsidTr="00E44A21">
        <w:tblPrEx>
          <w:tblBorders>
            <w:insideH w:val="none" w:sz="0" w:space="0" w:color="auto"/>
            <w:insideV w:val="none" w:sz="0" w:space="0" w:color="auto"/>
          </w:tblBorders>
        </w:tblPrEx>
        <w:trPr>
          <w:gridBefore w:val="1"/>
          <w:gridAfter w:val="1"/>
          <w:wBefore w:w="425" w:type="dxa"/>
          <w:wAfter w:w="284" w:type="dxa"/>
        </w:trPr>
        <w:tc>
          <w:tcPr>
            <w:tcW w:w="1702" w:type="dxa"/>
            <w:shd w:val="clear" w:color="auto" w:fill="auto"/>
          </w:tcPr>
          <w:p w:rsidR="002F1276" w:rsidRDefault="002F1276" w:rsidP="00B5378B">
            <w:pPr>
              <w:tabs>
                <w:tab w:val="left" w:pos="1985"/>
              </w:tabs>
              <w:contextualSpacing/>
              <w:jc w:val="both"/>
            </w:pPr>
            <w:r>
              <w:rPr>
                <w:b/>
              </w:rPr>
              <w:t>TB/20/09/06</w:t>
            </w:r>
          </w:p>
        </w:tc>
        <w:tc>
          <w:tcPr>
            <w:tcW w:w="7229" w:type="dxa"/>
            <w:gridSpan w:val="4"/>
            <w:shd w:val="clear" w:color="auto" w:fill="auto"/>
          </w:tcPr>
          <w:p w:rsidR="002F1276" w:rsidRDefault="002F1276" w:rsidP="00017323">
            <w:pPr>
              <w:tabs>
                <w:tab w:val="left" w:pos="1985"/>
              </w:tabs>
              <w:contextualSpacing/>
              <w:rPr>
                <w:b/>
              </w:rPr>
            </w:pPr>
            <w:r w:rsidRPr="007409EF">
              <w:rPr>
                <w:b/>
              </w:rPr>
              <w:t>Chief Executive’s Report</w:t>
            </w:r>
          </w:p>
          <w:p w:rsidR="002F1276" w:rsidRPr="005B643B" w:rsidRDefault="002F1276" w:rsidP="00D57B1A">
            <w:pPr>
              <w:tabs>
                <w:tab w:val="left" w:pos="1985"/>
              </w:tabs>
              <w:contextualSpacing/>
              <w:rPr>
                <w:b/>
                <w:sz w:val="10"/>
                <w:szCs w:val="10"/>
              </w:rPr>
            </w:pPr>
          </w:p>
        </w:tc>
        <w:tc>
          <w:tcPr>
            <w:tcW w:w="1134" w:type="dxa"/>
            <w:shd w:val="clear" w:color="auto" w:fill="auto"/>
          </w:tcPr>
          <w:p w:rsidR="002F1276" w:rsidRDefault="002F1276" w:rsidP="00980139">
            <w:pPr>
              <w:tabs>
                <w:tab w:val="left" w:pos="1985"/>
              </w:tabs>
              <w:snapToGrid w:val="0"/>
              <w:ind w:right="-108"/>
              <w:contextualSpacing/>
              <w:jc w:val="both"/>
              <w:rPr>
                <w:b/>
              </w:rPr>
            </w:pPr>
          </w:p>
        </w:tc>
      </w:tr>
      <w:tr w:rsidR="002F1276" w:rsidTr="00223E35">
        <w:tblPrEx>
          <w:tblBorders>
            <w:insideH w:val="none" w:sz="0" w:space="0" w:color="auto"/>
            <w:insideV w:val="none" w:sz="0" w:space="0" w:color="auto"/>
          </w:tblBorders>
        </w:tblPrEx>
        <w:trPr>
          <w:gridBefore w:val="1"/>
          <w:gridAfter w:val="1"/>
          <w:wBefore w:w="425" w:type="dxa"/>
          <w:wAfter w:w="284" w:type="dxa"/>
        </w:trPr>
        <w:tc>
          <w:tcPr>
            <w:tcW w:w="1702" w:type="dxa"/>
            <w:shd w:val="clear" w:color="auto" w:fill="auto"/>
          </w:tcPr>
          <w:p w:rsidR="002F1276" w:rsidRDefault="002F1276" w:rsidP="00980139">
            <w:pPr>
              <w:tabs>
                <w:tab w:val="left" w:pos="1985"/>
              </w:tabs>
              <w:snapToGrid w:val="0"/>
              <w:contextualSpacing/>
              <w:jc w:val="both"/>
              <w:rPr>
                <w:b/>
              </w:rPr>
            </w:pPr>
          </w:p>
        </w:tc>
        <w:tc>
          <w:tcPr>
            <w:tcW w:w="7229" w:type="dxa"/>
            <w:gridSpan w:val="4"/>
            <w:shd w:val="clear" w:color="auto" w:fill="auto"/>
          </w:tcPr>
          <w:p w:rsidR="002F1276" w:rsidRPr="00920CEA" w:rsidRDefault="002F1276" w:rsidP="00333685">
            <w:pPr>
              <w:tabs>
                <w:tab w:val="left" w:pos="1985"/>
              </w:tabs>
              <w:spacing w:before="0"/>
              <w:rPr>
                <w:sz w:val="2"/>
                <w:szCs w:val="2"/>
              </w:rPr>
            </w:pPr>
          </w:p>
          <w:p w:rsidR="002F1276" w:rsidRDefault="002F1276" w:rsidP="00333685">
            <w:pPr>
              <w:tabs>
                <w:tab w:val="left" w:pos="1985"/>
              </w:tabs>
              <w:spacing w:before="0"/>
            </w:pPr>
            <w:r>
              <w:t>Andrea Young, Chief Executive, provided an update on five key areas:</w:t>
            </w:r>
          </w:p>
          <w:p w:rsidR="002F1276" w:rsidRPr="00920CEA" w:rsidRDefault="002F1276" w:rsidP="00442E56">
            <w:pPr>
              <w:pStyle w:val="ListParagraph"/>
              <w:numPr>
                <w:ilvl w:val="0"/>
                <w:numId w:val="40"/>
              </w:numPr>
              <w:tabs>
                <w:tab w:val="left" w:pos="1985"/>
              </w:tabs>
              <w:spacing w:before="0" w:after="0"/>
              <w:rPr>
                <w:rFonts w:ascii="Arial" w:hAnsi="Arial" w:cs="Arial"/>
              </w:rPr>
            </w:pPr>
            <w:r>
              <w:rPr>
                <w:rFonts w:ascii="Arial" w:hAnsi="Arial" w:cs="Arial"/>
              </w:rPr>
              <w:t xml:space="preserve">The system was continuing progress regarding becoming an Integrated Care System (ICS). The ICS development plan would be submitted to the region the following day and detailed </w:t>
            </w:r>
            <w:r w:rsidRPr="00920CEA">
              <w:rPr>
                <w:rFonts w:ascii="Arial" w:hAnsi="Arial" w:cs="Arial"/>
              </w:rPr>
              <w:t xml:space="preserve">how </w:t>
            </w:r>
            <w:r>
              <w:rPr>
                <w:rFonts w:ascii="Arial" w:hAnsi="Arial" w:cs="Arial"/>
              </w:rPr>
              <w:t xml:space="preserve">the </w:t>
            </w:r>
            <w:r w:rsidRPr="00920CEA">
              <w:rPr>
                <w:rFonts w:ascii="Arial" w:hAnsi="Arial" w:cs="Arial"/>
              </w:rPr>
              <w:t>sys</w:t>
            </w:r>
            <w:r>
              <w:rPr>
                <w:rFonts w:ascii="Arial" w:hAnsi="Arial" w:cs="Arial"/>
              </w:rPr>
              <w:t>tem would</w:t>
            </w:r>
            <w:r w:rsidRPr="00920CEA">
              <w:rPr>
                <w:rFonts w:ascii="Arial" w:hAnsi="Arial" w:cs="Arial"/>
              </w:rPr>
              <w:t xml:space="preserve"> oversee perf</w:t>
            </w:r>
            <w:r>
              <w:rPr>
                <w:rFonts w:ascii="Arial" w:hAnsi="Arial" w:cs="Arial"/>
              </w:rPr>
              <w:t>ormance</w:t>
            </w:r>
            <w:r w:rsidRPr="00920CEA">
              <w:rPr>
                <w:rFonts w:ascii="Arial" w:hAnsi="Arial" w:cs="Arial"/>
              </w:rPr>
              <w:t xml:space="preserve"> management, </w:t>
            </w:r>
            <w:r>
              <w:rPr>
                <w:rFonts w:ascii="Arial" w:hAnsi="Arial" w:cs="Arial"/>
              </w:rPr>
              <w:t xml:space="preserve">organisational development and quality and outcomes. More work with Boards and Executive Leaders would occur in the upcoming months. BNSSG expected to become a shadow ICS by the end of November 2020, though work was required to define what an ICS meant in practice as legislation continued to assign </w:t>
            </w:r>
            <w:r w:rsidRPr="00920CEA">
              <w:rPr>
                <w:rFonts w:ascii="Arial" w:hAnsi="Arial" w:cs="Arial"/>
              </w:rPr>
              <w:t>accountability to indi</w:t>
            </w:r>
            <w:r>
              <w:rPr>
                <w:rFonts w:ascii="Arial" w:hAnsi="Arial" w:cs="Arial"/>
              </w:rPr>
              <w:t>vidual</w:t>
            </w:r>
            <w:r w:rsidRPr="00920CEA">
              <w:rPr>
                <w:rFonts w:ascii="Arial" w:hAnsi="Arial" w:cs="Arial"/>
              </w:rPr>
              <w:t xml:space="preserve"> org</w:t>
            </w:r>
            <w:r>
              <w:rPr>
                <w:rFonts w:ascii="Arial" w:hAnsi="Arial" w:cs="Arial"/>
              </w:rPr>
              <w:t>anisations;</w:t>
            </w:r>
          </w:p>
          <w:p w:rsidR="002F1276" w:rsidRPr="00920CEA" w:rsidRDefault="002F1276" w:rsidP="00442E56">
            <w:pPr>
              <w:pStyle w:val="ListParagraph"/>
              <w:numPr>
                <w:ilvl w:val="0"/>
                <w:numId w:val="40"/>
              </w:numPr>
              <w:tabs>
                <w:tab w:val="left" w:pos="1985"/>
              </w:tabs>
              <w:spacing w:before="0" w:after="0"/>
              <w:rPr>
                <w:rFonts w:ascii="Arial" w:hAnsi="Arial" w:cs="Arial"/>
              </w:rPr>
            </w:pPr>
            <w:r>
              <w:rPr>
                <w:rFonts w:ascii="Arial" w:hAnsi="Arial" w:cs="Arial"/>
              </w:rPr>
              <w:t xml:space="preserve">The Trust had been </w:t>
            </w:r>
            <w:r w:rsidRPr="00920CEA">
              <w:rPr>
                <w:rFonts w:ascii="Arial" w:hAnsi="Arial" w:cs="Arial"/>
              </w:rPr>
              <w:t>accept</w:t>
            </w:r>
            <w:r w:rsidRPr="00253F06">
              <w:rPr>
                <w:rFonts w:ascii="Arial" w:hAnsi="Arial" w:cs="Arial"/>
              </w:rPr>
              <w:t>ed as an early adopter of the new Patient Safety Incident Reporting which</w:t>
            </w:r>
            <w:r>
              <w:rPr>
                <w:rFonts w:ascii="Arial" w:hAnsi="Arial" w:cs="Arial"/>
              </w:rPr>
              <w:t xml:space="preserve"> was in line with development of a Just Culture as presented at July’s Trust Board;</w:t>
            </w:r>
            <w:r w:rsidRPr="00920CEA">
              <w:rPr>
                <w:rFonts w:ascii="Arial" w:hAnsi="Arial" w:cs="Arial"/>
              </w:rPr>
              <w:t xml:space="preserve"> </w:t>
            </w:r>
          </w:p>
          <w:p w:rsidR="002F1276" w:rsidRPr="00B57D0E" w:rsidRDefault="002F1276" w:rsidP="00442E56">
            <w:pPr>
              <w:pStyle w:val="ListParagraph"/>
              <w:numPr>
                <w:ilvl w:val="0"/>
                <w:numId w:val="40"/>
              </w:numPr>
              <w:tabs>
                <w:tab w:val="left" w:pos="1985"/>
              </w:tabs>
              <w:spacing w:before="0" w:after="0"/>
              <w:rPr>
                <w:rFonts w:ascii="Arial" w:hAnsi="Arial" w:cs="Arial"/>
              </w:rPr>
            </w:pPr>
            <w:r w:rsidRPr="00B57D0E">
              <w:rPr>
                <w:rFonts w:ascii="Arial" w:hAnsi="Arial" w:cs="Arial"/>
              </w:rPr>
              <w:t>The Weston Covid-19 O</w:t>
            </w:r>
            <w:r>
              <w:rPr>
                <w:rFonts w:ascii="Arial" w:hAnsi="Arial" w:cs="Arial"/>
              </w:rPr>
              <w:t>utbreak Report had been</w:t>
            </w:r>
            <w:r w:rsidRPr="00B57D0E">
              <w:rPr>
                <w:rFonts w:ascii="Arial" w:hAnsi="Arial" w:cs="Arial"/>
              </w:rPr>
              <w:t xml:space="preserve"> published in the </w:t>
            </w:r>
            <w:r>
              <w:rPr>
                <w:rFonts w:ascii="Arial" w:hAnsi="Arial" w:cs="Arial"/>
              </w:rPr>
              <w:t>week prior. NBT</w:t>
            </w:r>
            <w:r w:rsidRPr="00B57D0E">
              <w:rPr>
                <w:rFonts w:ascii="Arial" w:hAnsi="Arial" w:cs="Arial"/>
              </w:rPr>
              <w:t xml:space="preserve"> was keen to review the report </w:t>
            </w:r>
            <w:r>
              <w:rPr>
                <w:rFonts w:ascii="Arial" w:hAnsi="Arial" w:cs="Arial"/>
              </w:rPr>
              <w:t xml:space="preserve">in order to garner learning. </w:t>
            </w:r>
            <w:r w:rsidRPr="00B57D0E">
              <w:rPr>
                <w:rFonts w:ascii="Arial" w:hAnsi="Arial" w:cs="Arial"/>
              </w:rPr>
              <w:t xml:space="preserve">It was noted that NBT had no hospital acquired Covid-19 cases since June 2020 and remained vigilant in its Infection Prevention Control (IPC) </w:t>
            </w:r>
            <w:r>
              <w:rPr>
                <w:rFonts w:ascii="Arial" w:hAnsi="Arial" w:cs="Arial"/>
              </w:rPr>
              <w:t xml:space="preserve">procedures. In addition, </w:t>
            </w:r>
            <w:r w:rsidRPr="00B57D0E">
              <w:rPr>
                <w:rFonts w:ascii="Arial" w:hAnsi="Arial" w:cs="Arial"/>
              </w:rPr>
              <w:t>BNSSG Covid-19 cases per 100,000 population remained low compared with national figure</w:t>
            </w:r>
            <w:r w:rsidRPr="00195201">
              <w:rPr>
                <w:rFonts w:ascii="Arial" w:hAnsi="Arial" w:cs="Arial"/>
              </w:rPr>
              <w:t>s;</w:t>
            </w:r>
            <w:r w:rsidRPr="00B57D0E">
              <w:rPr>
                <w:rFonts w:ascii="Arial" w:hAnsi="Arial" w:cs="Arial"/>
              </w:rPr>
              <w:t xml:space="preserve"> </w:t>
            </w:r>
          </w:p>
          <w:p w:rsidR="002F1276" w:rsidRPr="00195201" w:rsidRDefault="002F1276" w:rsidP="00442E56">
            <w:pPr>
              <w:pStyle w:val="ListParagraph"/>
              <w:numPr>
                <w:ilvl w:val="0"/>
                <w:numId w:val="40"/>
              </w:numPr>
              <w:tabs>
                <w:tab w:val="left" w:pos="1985"/>
              </w:tabs>
              <w:spacing w:before="0" w:after="0"/>
              <w:rPr>
                <w:rFonts w:ascii="Arial" w:hAnsi="Arial" w:cs="Arial"/>
              </w:rPr>
            </w:pPr>
            <w:r>
              <w:rPr>
                <w:rFonts w:ascii="Arial" w:hAnsi="Arial" w:cs="Arial"/>
              </w:rPr>
              <w:t xml:space="preserve">A highly positive CQC quarterly meeting took place in the week prior. CQC monitoring visits were expected in the Emergency Department (ED), </w:t>
            </w:r>
            <w:r w:rsidRPr="00195201">
              <w:rPr>
                <w:rFonts w:ascii="Arial" w:hAnsi="Arial" w:cs="Arial"/>
              </w:rPr>
              <w:t xml:space="preserve">Maternity and Outpatients in the upcoming months; </w:t>
            </w:r>
          </w:p>
          <w:p w:rsidR="002F1276" w:rsidRPr="00B341FD" w:rsidRDefault="002F1276" w:rsidP="00B57D0E">
            <w:pPr>
              <w:pStyle w:val="ListParagraph"/>
              <w:numPr>
                <w:ilvl w:val="0"/>
                <w:numId w:val="40"/>
              </w:numPr>
              <w:tabs>
                <w:tab w:val="left" w:pos="1985"/>
              </w:tabs>
              <w:spacing w:before="0" w:after="0"/>
            </w:pPr>
            <w:r w:rsidRPr="00195201">
              <w:rPr>
                <w:rFonts w:ascii="Arial" w:hAnsi="Arial" w:cs="Arial"/>
              </w:rPr>
              <w:t>In October the Trust would formally launch NBT Black History Month with a large programme of events scheduled to celebrate black people’s contribution to NBT and the wider community. Events</w:t>
            </w:r>
            <w:r>
              <w:rPr>
                <w:rFonts w:ascii="Arial" w:hAnsi="Arial" w:cs="Arial"/>
              </w:rPr>
              <w:t xml:space="preserve"> organised included the formal opening of the Princess Campbell Office. Princess Campbell’s family and Asher Craig, Bristol Deputy Mayor, were expected at the event which would be kept to government guidelines regarding Covid-19.</w:t>
            </w:r>
          </w:p>
          <w:p w:rsidR="002F1276" w:rsidRDefault="002F1276" w:rsidP="00B341FD">
            <w:pPr>
              <w:pStyle w:val="ListParagraph"/>
              <w:tabs>
                <w:tab w:val="left" w:pos="1985"/>
              </w:tabs>
              <w:spacing w:before="0" w:after="0"/>
              <w:ind w:left="360"/>
            </w:pPr>
          </w:p>
          <w:p w:rsidR="002F1276" w:rsidRPr="00B5378B" w:rsidRDefault="002F1276" w:rsidP="00253F06">
            <w:pPr>
              <w:tabs>
                <w:tab w:val="left" w:pos="1985"/>
              </w:tabs>
              <w:spacing w:before="0" w:after="0"/>
            </w:pPr>
            <w:r w:rsidRPr="00B57D0E">
              <w:t>T</w:t>
            </w:r>
            <w:r>
              <w:t xml:space="preserve">im Gregory queried how Primary Care (PC) was dealing with challenges to activity in light of Covid-19. Andrea Young responded that PC was struggling with PPE and maintenance of services on-top of beginning a large flu vaccine campaign. No specific concerns had been raised by individual local practices, likely due to the locality approach and OneCare support. </w:t>
            </w:r>
            <w:r w:rsidRPr="00B57D0E">
              <w:t xml:space="preserve"> </w:t>
            </w:r>
            <w:r>
              <w:t>NBT was working closely with PC leaders regarding urgent care and increasing community-based support.</w:t>
            </w:r>
            <w:r w:rsidRPr="00B57D0E">
              <w:t xml:space="preserve"> </w:t>
            </w:r>
            <w:r>
              <w:t xml:space="preserve">In addition, it was noted that BNSSG had been allocated £340k to up-scale NHS 111 to support urgent care referrals during winter. It was agreed that being open for referrals for diagnostics and outpatients and for advice and guidance was the best way that NBT supported PC. </w:t>
            </w:r>
          </w:p>
          <w:p w:rsidR="002F1276" w:rsidRPr="00BD76D4" w:rsidRDefault="002F1276" w:rsidP="00A34553">
            <w:pPr>
              <w:pStyle w:val="ListParagraph"/>
              <w:tabs>
                <w:tab w:val="left" w:pos="1985"/>
              </w:tabs>
              <w:spacing w:before="0" w:after="0"/>
              <w:rPr>
                <w:sz w:val="10"/>
                <w:szCs w:val="10"/>
              </w:rPr>
            </w:pPr>
          </w:p>
          <w:p w:rsidR="002F1276" w:rsidRDefault="002F1276" w:rsidP="00DC78B9">
            <w:pPr>
              <w:tabs>
                <w:tab w:val="left" w:pos="1985"/>
              </w:tabs>
              <w:spacing w:before="0" w:after="0"/>
              <w:contextualSpacing/>
              <w:rPr>
                <w:b/>
              </w:rPr>
            </w:pPr>
            <w:r w:rsidRPr="001F55D7">
              <w:rPr>
                <w:b/>
              </w:rPr>
              <w:t xml:space="preserve">RESOLVED that </w:t>
            </w:r>
            <w:r>
              <w:rPr>
                <w:b/>
              </w:rPr>
              <w:t>the Chief Executive’s Report be noted</w:t>
            </w:r>
            <w:r w:rsidRPr="00C50B88">
              <w:rPr>
                <w:b/>
              </w:rPr>
              <w:t>.</w:t>
            </w:r>
          </w:p>
          <w:p w:rsidR="002F1276" w:rsidRDefault="002F1276" w:rsidP="00DC78B9">
            <w:pPr>
              <w:tabs>
                <w:tab w:val="left" w:pos="1985"/>
              </w:tabs>
              <w:spacing w:before="0" w:after="0"/>
              <w:contextualSpacing/>
              <w:rPr>
                <w:b/>
              </w:rPr>
            </w:pPr>
          </w:p>
          <w:p w:rsidR="002F1276" w:rsidRPr="001F55D7" w:rsidRDefault="002F1276" w:rsidP="00DC78B9">
            <w:pPr>
              <w:tabs>
                <w:tab w:val="left" w:pos="1985"/>
              </w:tabs>
              <w:spacing w:before="0" w:after="0"/>
              <w:contextualSpacing/>
              <w:rPr>
                <w:b/>
                <w:sz w:val="10"/>
                <w:szCs w:val="10"/>
              </w:rPr>
            </w:pPr>
          </w:p>
        </w:tc>
        <w:tc>
          <w:tcPr>
            <w:tcW w:w="1134" w:type="dxa"/>
            <w:shd w:val="clear" w:color="auto" w:fill="auto"/>
          </w:tcPr>
          <w:p w:rsidR="002F1276" w:rsidRDefault="002F1276" w:rsidP="00980139">
            <w:pPr>
              <w:tabs>
                <w:tab w:val="left" w:pos="1985"/>
              </w:tabs>
              <w:snapToGrid w:val="0"/>
              <w:ind w:right="-108"/>
              <w:contextualSpacing/>
              <w:jc w:val="both"/>
              <w:rPr>
                <w:b/>
              </w:rPr>
            </w:pPr>
          </w:p>
          <w:p w:rsidR="002F1276" w:rsidRDefault="002F1276" w:rsidP="00980139">
            <w:pPr>
              <w:tabs>
                <w:tab w:val="left" w:pos="1985"/>
              </w:tabs>
              <w:ind w:right="-108"/>
              <w:contextualSpacing/>
              <w:jc w:val="both"/>
              <w:rPr>
                <w:b/>
              </w:rPr>
            </w:pPr>
          </w:p>
          <w:p w:rsidR="002F1276" w:rsidRDefault="002F1276" w:rsidP="00DC78B9">
            <w:pPr>
              <w:tabs>
                <w:tab w:val="left" w:pos="1985"/>
              </w:tabs>
              <w:ind w:right="-108"/>
              <w:contextualSpacing/>
              <w:jc w:val="both"/>
              <w:rPr>
                <w:b/>
              </w:rPr>
            </w:pPr>
          </w:p>
        </w:tc>
      </w:tr>
      <w:tr w:rsidR="002F1276" w:rsidTr="00B341FD">
        <w:tblPrEx>
          <w:tblBorders>
            <w:insideH w:val="none" w:sz="0" w:space="0" w:color="auto"/>
            <w:insideV w:val="none" w:sz="0" w:space="0" w:color="auto"/>
          </w:tblBorders>
        </w:tblPrEx>
        <w:trPr>
          <w:gridBefore w:val="1"/>
          <w:gridAfter w:val="1"/>
          <w:wBefore w:w="425" w:type="dxa"/>
          <w:wAfter w:w="284" w:type="dxa"/>
          <w:trHeight w:val="494"/>
        </w:trPr>
        <w:tc>
          <w:tcPr>
            <w:tcW w:w="1702" w:type="dxa"/>
            <w:tcBorders>
              <w:bottom w:val="single" w:sz="4" w:space="0" w:color="auto"/>
            </w:tcBorders>
            <w:shd w:val="clear" w:color="auto" w:fill="auto"/>
          </w:tcPr>
          <w:p w:rsidR="002F1276" w:rsidRDefault="002F1276" w:rsidP="00B5378B">
            <w:pPr>
              <w:tabs>
                <w:tab w:val="left" w:pos="1985"/>
              </w:tabs>
              <w:contextualSpacing/>
              <w:jc w:val="both"/>
            </w:pPr>
            <w:r>
              <w:rPr>
                <w:b/>
              </w:rPr>
              <w:t>TB/20/09/07</w:t>
            </w:r>
          </w:p>
        </w:tc>
        <w:tc>
          <w:tcPr>
            <w:tcW w:w="7229" w:type="dxa"/>
            <w:gridSpan w:val="4"/>
            <w:tcBorders>
              <w:bottom w:val="single" w:sz="4" w:space="0" w:color="auto"/>
            </w:tcBorders>
            <w:shd w:val="clear" w:color="auto" w:fill="auto"/>
          </w:tcPr>
          <w:p w:rsidR="002F1276" w:rsidRPr="00DC78B9" w:rsidRDefault="002F1276" w:rsidP="00DC78B9">
            <w:pPr>
              <w:spacing w:before="0"/>
              <w:rPr>
                <w:b/>
                <w:szCs w:val="24"/>
              </w:rPr>
            </w:pPr>
            <w:r>
              <w:rPr>
                <w:b/>
                <w:szCs w:val="24"/>
              </w:rPr>
              <w:t>Integrated Performance Report</w:t>
            </w:r>
          </w:p>
        </w:tc>
        <w:tc>
          <w:tcPr>
            <w:tcW w:w="1134" w:type="dxa"/>
            <w:tcBorders>
              <w:left w:val="nil"/>
              <w:bottom w:val="single" w:sz="4" w:space="0" w:color="auto"/>
            </w:tcBorders>
            <w:shd w:val="clear" w:color="auto" w:fill="auto"/>
          </w:tcPr>
          <w:p w:rsidR="002F1276" w:rsidRDefault="002F1276" w:rsidP="00980139">
            <w:pPr>
              <w:tabs>
                <w:tab w:val="left" w:pos="1985"/>
              </w:tabs>
              <w:snapToGrid w:val="0"/>
              <w:ind w:right="-108"/>
              <w:contextualSpacing/>
              <w:jc w:val="both"/>
              <w:rPr>
                <w:b/>
              </w:rPr>
            </w:pPr>
          </w:p>
        </w:tc>
      </w:tr>
      <w:tr w:rsidR="002F1276" w:rsidTr="00B341FD">
        <w:tblPrEx>
          <w:tblBorders>
            <w:insideH w:val="none" w:sz="0" w:space="0" w:color="auto"/>
            <w:insideV w:val="none" w:sz="0" w:space="0" w:color="auto"/>
          </w:tblBorders>
        </w:tblPrEx>
        <w:trPr>
          <w:gridBefore w:val="1"/>
          <w:gridAfter w:val="1"/>
          <w:wBefore w:w="425" w:type="dxa"/>
          <w:wAfter w:w="284" w:type="dxa"/>
          <w:trHeight w:val="841"/>
        </w:trPr>
        <w:tc>
          <w:tcPr>
            <w:tcW w:w="1702" w:type="dxa"/>
            <w:tcBorders>
              <w:top w:val="single" w:sz="4" w:space="0" w:color="auto"/>
              <w:left w:val="single" w:sz="4" w:space="0" w:color="auto"/>
              <w:bottom w:val="single" w:sz="4" w:space="0" w:color="auto"/>
              <w:right w:val="single" w:sz="4" w:space="0" w:color="auto"/>
            </w:tcBorders>
            <w:shd w:val="clear" w:color="auto" w:fill="auto"/>
          </w:tcPr>
          <w:p w:rsidR="002F1276" w:rsidRDefault="002F1276" w:rsidP="00DC78B9">
            <w:pPr>
              <w:tabs>
                <w:tab w:val="left" w:pos="1985"/>
              </w:tabs>
              <w:contextualSpacing/>
              <w:jc w:val="both"/>
              <w:rPr>
                <w:b/>
              </w:rPr>
            </w:pP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Pr>
          <w:p w:rsidR="002F1276" w:rsidRDefault="002F1276" w:rsidP="00B5378B">
            <w:pPr>
              <w:spacing w:before="0" w:after="0"/>
              <w:rPr>
                <w:szCs w:val="24"/>
              </w:rPr>
            </w:pPr>
            <w:r>
              <w:rPr>
                <w:szCs w:val="24"/>
              </w:rPr>
              <w:t>Evelyn Barker, Chief Operating Officer and Deputy Chief Executive, presented the overall positive September Integrated Performance Report and highlighted the following key points:</w:t>
            </w:r>
          </w:p>
          <w:p w:rsidR="002F1276" w:rsidRDefault="002F1276" w:rsidP="00B5378B">
            <w:pPr>
              <w:spacing w:before="0" w:after="0"/>
              <w:rPr>
                <w:szCs w:val="24"/>
              </w:rPr>
            </w:pPr>
          </w:p>
          <w:p w:rsidR="002F1276" w:rsidRDefault="002F1276" w:rsidP="007C6D84">
            <w:pPr>
              <w:pStyle w:val="ListParagraph"/>
              <w:numPr>
                <w:ilvl w:val="0"/>
                <w:numId w:val="41"/>
              </w:numPr>
              <w:spacing w:before="0" w:after="0"/>
              <w:rPr>
                <w:rFonts w:ascii="Arial" w:hAnsi="Arial" w:cs="Arial"/>
                <w:szCs w:val="24"/>
              </w:rPr>
            </w:pPr>
            <w:r w:rsidRPr="007C6D84">
              <w:rPr>
                <w:rFonts w:ascii="Arial" w:hAnsi="Arial" w:cs="Arial"/>
                <w:szCs w:val="24"/>
              </w:rPr>
              <w:t>ED attendance had risen to 95%</w:t>
            </w:r>
            <w:r>
              <w:rPr>
                <w:rFonts w:ascii="Arial" w:hAnsi="Arial" w:cs="Arial"/>
                <w:szCs w:val="24"/>
              </w:rPr>
              <w:t xml:space="preserve"> of attendances for the same time the previous year </w:t>
            </w:r>
            <w:r w:rsidRPr="007C6D84">
              <w:rPr>
                <w:rFonts w:ascii="Arial" w:hAnsi="Arial" w:cs="Arial"/>
                <w:szCs w:val="24"/>
              </w:rPr>
              <w:t>following the dip in attendanc</w:t>
            </w:r>
            <w:r>
              <w:rPr>
                <w:rFonts w:ascii="Arial" w:hAnsi="Arial" w:cs="Arial"/>
                <w:szCs w:val="24"/>
              </w:rPr>
              <w:t>es during the pandemic. ED four-</w:t>
            </w:r>
            <w:r w:rsidRPr="007C6D84">
              <w:rPr>
                <w:rFonts w:ascii="Arial" w:hAnsi="Arial" w:cs="Arial"/>
                <w:szCs w:val="24"/>
              </w:rPr>
              <w:t>hour performance was strong and there had been no 12 hour trolley waits. NBT was the top performing major trauma centre in the country including ambulance handover times;</w:t>
            </w:r>
          </w:p>
          <w:p w:rsidR="002F1276" w:rsidRPr="007C6D84" w:rsidRDefault="002F1276" w:rsidP="007C6D84">
            <w:pPr>
              <w:pStyle w:val="ListParagraph"/>
              <w:numPr>
                <w:ilvl w:val="0"/>
                <w:numId w:val="41"/>
              </w:numPr>
              <w:spacing w:before="0" w:after="0"/>
              <w:rPr>
                <w:rFonts w:ascii="Arial" w:hAnsi="Arial" w:cs="Arial"/>
                <w:szCs w:val="24"/>
              </w:rPr>
            </w:pPr>
            <w:r w:rsidRPr="007C6D84">
              <w:rPr>
                <w:rFonts w:ascii="Arial" w:hAnsi="Arial" w:cs="Arial"/>
                <w:szCs w:val="24"/>
              </w:rPr>
              <w:t>RTT was significantly impacted in NBT and waiting list size had increased overall due to increased referrals and a reduction in capacity due to Covid-19.</w:t>
            </w:r>
            <w:r>
              <w:rPr>
                <w:rFonts w:ascii="Arial" w:hAnsi="Arial" w:cs="Arial"/>
                <w:szCs w:val="24"/>
              </w:rPr>
              <w:t xml:space="preserve"> The Trust had a back-log in 52 week waits with 797 people now waiting more than 52 weeks. This position was reflected nationally and NBT was following Royal College guidance regarding prioritisation of waiting patients. </w:t>
            </w:r>
          </w:p>
          <w:p w:rsidR="002F1276" w:rsidRDefault="002F1276" w:rsidP="009628BF">
            <w:pPr>
              <w:pStyle w:val="ListParagraph"/>
              <w:spacing w:before="0" w:after="0"/>
              <w:rPr>
                <w:rFonts w:ascii="Arial" w:hAnsi="Arial" w:cs="Arial"/>
                <w:szCs w:val="24"/>
              </w:rPr>
            </w:pPr>
          </w:p>
          <w:p w:rsidR="002F1276" w:rsidRDefault="002F1276" w:rsidP="000D4F2E">
            <w:pPr>
              <w:spacing w:before="0" w:after="0"/>
              <w:rPr>
                <w:szCs w:val="24"/>
              </w:rPr>
            </w:pPr>
            <w:r w:rsidRPr="00096C7E">
              <w:rPr>
                <w:szCs w:val="24"/>
              </w:rPr>
              <w:t>During the ensuing</w:t>
            </w:r>
            <w:r>
              <w:rPr>
                <w:szCs w:val="24"/>
              </w:rPr>
              <w:t xml:space="preserve"> discussion the following points were noted:</w:t>
            </w:r>
          </w:p>
          <w:p w:rsidR="002F1276" w:rsidRPr="009628BF" w:rsidRDefault="002F1276" w:rsidP="009628BF">
            <w:pPr>
              <w:spacing w:before="0" w:after="0"/>
              <w:rPr>
                <w:szCs w:val="24"/>
              </w:rPr>
            </w:pPr>
          </w:p>
          <w:p w:rsidR="002F1276" w:rsidRDefault="002F1276" w:rsidP="00096C7E">
            <w:pPr>
              <w:pStyle w:val="ListParagraph"/>
              <w:numPr>
                <w:ilvl w:val="0"/>
                <w:numId w:val="34"/>
              </w:numPr>
              <w:spacing w:before="0" w:after="0"/>
              <w:rPr>
                <w:rFonts w:ascii="Arial" w:hAnsi="Arial" w:cs="Arial"/>
                <w:szCs w:val="24"/>
              </w:rPr>
            </w:pPr>
            <w:r>
              <w:rPr>
                <w:rFonts w:ascii="Arial" w:hAnsi="Arial" w:cs="Arial"/>
                <w:szCs w:val="24"/>
              </w:rPr>
              <w:t>John Everitt, NED, suggested that when compared to other Trusts, NBT compared favourably, and this at present this was more useful than comparison to national targets. However, John queried when new trajectories would be created for the Trust and Evelyn Barker confirmed work was ongoing and would be presented to Finance and Performance Committee (FPC) for approval in October;</w:t>
            </w:r>
          </w:p>
          <w:p w:rsidR="002F1276" w:rsidRDefault="002F1276" w:rsidP="00432082">
            <w:pPr>
              <w:pStyle w:val="ListParagraph"/>
              <w:numPr>
                <w:ilvl w:val="0"/>
                <w:numId w:val="34"/>
              </w:numPr>
              <w:spacing w:before="0" w:after="0"/>
              <w:rPr>
                <w:rFonts w:ascii="Arial" w:hAnsi="Arial" w:cs="Arial"/>
                <w:szCs w:val="24"/>
              </w:rPr>
            </w:pPr>
            <w:r>
              <w:rPr>
                <w:rFonts w:ascii="Arial" w:hAnsi="Arial" w:cs="Arial"/>
                <w:szCs w:val="24"/>
              </w:rPr>
              <w:t xml:space="preserve">John further queried the impact on community </w:t>
            </w:r>
            <w:r w:rsidRPr="00195201">
              <w:rPr>
                <w:rFonts w:ascii="Arial" w:hAnsi="Arial" w:cs="Arial"/>
                <w:szCs w:val="24"/>
              </w:rPr>
              <w:t>organisations from delays to diagnostics and growing waiting lists. Evelyn responded that Quality &amp; Risk Management Committee (QRMC) was reviewing the process of measuring harm for those who wait. It was noted that the Trust was just one element of the healthcare system and the STP were anxious to understand the community impact. Chris</w:t>
            </w:r>
            <w:r>
              <w:rPr>
                <w:rFonts w:ascii="Arial" w:hAnsi="Arial" w:cs="Arial"/>
                <w:szCs w:val="24"/>
              </w:rPr>
              <w:t xml:space="preserve"> Burton, Medical Director, reassured the Board that although an answer had not yet been landed, work was ongoing to assess harm and </w:t>
            </w:r>
            <w:proofErr w:type="spellStart"/>
            <w:r>
              <w:rPr>
                <w:rFonts w:ascii="Arial" w:hAnsi="Arial" w:cs="Arial"/>
                <w:szCs w:val="24"/>
              </w:rPr>
              <w:t>Acutes</w:t>
            </w:r>
            <w:proofErr w:type="spellEnd"/>
            <w:r>
              <w:rPr>
                <w:rFonts w:ascii="Arial" w:hAnsi="Arial" w:cs="Arial"/>
                <w:szCs w:val="24"/>
              </w:rPr>
              <w:t xml:space="preserve"> had opened referral lists to ensure patients waiting were on the system and managed. Evelyn Barker confirmed NBT’s waiting lists were being actively managed with consultant interaction; </w:t>
            </w:r>
          </w:p>
          <w:p w:rsidR="002F1276" w:rsidRDefault="002F1276" w:rsidP="00096C7E">
            <w:pPr>
              <w:pStyle w:val="ListParagraph"/>
              <w:numPr>
                <w:ilvl w:val="0"/>
                <w:numId w:val="34"/>
              </w:numPr>
              <w:spacing w:before="0" w:after="0"/>
              <w:rPr>
                <w:rFonts w:ascii="Arial" w:hAnsi="Arial" w:cs="Arial"/>
                <w:szCs w:val="24"/>
              </w:rPr>
            </w:pPr>
            <w:r>
              <w:rPr>
                <w:rFonts w:ascii="Arial" w:hAnsi="Arial" w:cs="Arial"/>
                <w:szCs w:val="24"/>
              </w:rPr>
              <w:t>Kelvin Blake, NED, raised concern regarding high bed occupancy rates and what impact this was having on emergency admissions. Evelyn Barker agreed that due to Covid-19-nessecitated bed pathways of Yellow, Green and Blue, bed capacity at NBT had reduced and bed occupancy was at 92% when the aim was 85% to allow for flex and flow. The Trust was investigating all possible resolutions including purchasing community beds alongside the CCG. This would be further discussed in the Winter Plan due at Private Trust Board;</w:t>
            </w:r>
          </w:p>
          <w:p w:rsidR="002F1276" w:rsidRDefault="002F1276" w:rsidP="00096C7E">
            <w:pPr>
              <w:pStyle w:val="ListParagraph"/>
              <w:numPr>
                <w:ilvl w:val="0"/>
                <w:numId w:val="34"/>
              </w:numPr>
              <w:spacing w:before="0" w:after="0"/>
              <w:rPr>
                <w:rFonts w:ascii="Arial" w:hAnsi="Arial" w:cs="Arial"/>
                <w:szCs w:val="24"/>
              </w:rPr>
            </w:pPr>
            <w:r>
              <w:rPr>
                <w:rFonts w:ascii="Arial" w:hAnsi="Arial" w:cs="Arial"/>
                <w:szCs w:val="24"/>
              </w:rPr>
              <w:t xml:space="preserve">Tim Gregory queried use of the Independent Sector (IS). It was confirmed the national IS contract was currently in place until November 2020 but NBT’s IS theatre productivity at Emerson’s Green was reduced as staff had to factor in travel time; </w:t>
            </w:r>
          </w:p>
          <w:p w:rsidR="002F1276" w:rsidRDefault="002F1276" w:rsidP="00096C7E">
            <w:pPr>
              <w:pStyle w:val="ListParagraph"/>
              <w:numPr>
                <w:ilvl w:val="0"/>
                <w:numId w:val="34"/>
              </w:numPr>
              <w:spacing w:before="0" w:after="0"/>
              <w:rPr>
                <w:rFonts w:ascii="Arial" w:hAnsi="Arial" w:cs="Arial"/>
                <w:szCs w:val="24"/>
              </w:rPr>
            </w:pPr>
            <w:r>
              <w:rPr>
                <w:rFonts w:ascii="Arial" w:hAnsi="Arial" w:cs="Arial"/>
                <w:szCs w:val="24"/>
              </w:rPr>
              <w:t>Tim further queried how the Trust planned to reassure patients, public and staff that services were safe and robust. It was confirmed that staff communications had been distributed that week reassuring staff that the Trust was robustly preparing for winter and a potential second wave of Covid-19. External communications were ongoing through various forums including direct briefings to MPs;</w:t>
            </w:r>
          </w:p>
          <w:p w:rsidR="002F1276" w:rsidRDefault="002F1276" w:rsidP="00096C7E">
            <w:pPr>
              <w:pStyle w:val="ListParagraph"/>
              <w:numPr>
                <w:ilvl w:val="0"/>
                <w:numId w:val="34"/>
              </w:numPr>
              <w:spacing w:before="0" w:after="0"/>
              <w:rPr>
                <w:rFonts w:ascii="Arial" w:hAnsi="Arial" w:cs="Arial"/>
                <w:szCs w:val="24"/>
              </w:rPr>
            </w:pPr>
            <w:r>
              <w:rPr>
                <w:rFonts w:ascii="Arial" w:hAnsi="Arial" w:cs="Arial"/>
                <w:szCs w:val="24"/>
              </w:rPr>
              <w:t xml:space="preserve">NBT’s high caesarean section rates were also discussed. Helen Blanchard, Director of Nursing and Quality, informed the Board that Women &amp; Children (W&amp;CH) division were committed to understanding the rates more clearly as requested by the Board. On behalf of the Board, September’s QRMC had discussed the issue in-depth through initial analysis and hypotheses creation regarding what was driving the increased C-section rates. Reasons hypothesised included strong enactment of the NICE guidance stating women should be able to choose their method of delivery and many opting for a caesarean; and higher numbers of women being induced and then choosing caesarean  due to prolonged labour times. In addition, NBT had seen an increase in Planned, Category Three C-sections and a similar decrease in urgent C-sections. Lastly, it was suggested that outcomes at NBT were comparatively very good such as lower rates of cerebral palsy. Chris Burton reassured the Board that the increased C-section rates were also likely due to a national </w:t>
            </w:r>
            <w:r w:rsidRPr="00195201">
              <w:rPr>
                <w:rFonts w:ascii="Arial" w:hAnsi="Arial" w:cs="Arial"/>
                <w:szCs w:val="24"/>
              </w:rPr>
              <w:t xml:space="preserve">drive to reduce perinatal mortality as the UK was higher than EU comparators. This drive had resulted in increased intervention during births and significantly higher medicalisation. John </w:t>
            </w:r>
            <w:proofErr w:type="spellStart"/>
            <w:r w:rsidRPr="00195201">
              <w:rPr>
                <w:rFonts w:ascii="Arial" w:hAnsi="Arial" w:cs="Arial"/>
                <w:szCs w:val="24"/>
              </w:rPr>
              <w:t>Iredale</w:t>
            </w:r>
            <w:proofErr w:type="spellEnd"/>
            <w:r w:rsidRPr="00195201">
              <w:rPr>
                <w:rFonts w:ascii="Arial" w:hAnsi="Arial" w:cs="Arial"/>
                <w:szCs w:val="24"/>
              </w:rPr>
              <w:t>, NED and QRMC chair, further assured the Board that the C-section rate issue was nuanced and that due to good outcomes, the Committee was not highly concerned. QRMC</w:t>
            </w:r>
            <w:r>
              <w:rPr>
                <w:rFonts w:ascii="Arial" w:hAnsi="Arial" w:cs="Arial"/>
                <w:szCs w:val="24"/>
              </w:rPr>
              <w:t xml:space="preserve"> would receive further analysis of the last six months of C-Section data (April – September 2020) at its November meeting;</w:t>
            </w:r>
          </w:p>
          <w:p w:rsidR="002F1276" w:rsidRDefault="002F1276" w:rsidP="00096C7E">
            <w:pPr>
              <w:pStyle w:val="ListParagraph"/>
              <w:numPr>
                <w:ilvl w:val="0"/>
                <w:numId w:val="34"/>
              </w:numPr>
              <w:spacing w:before="0" w:after="0"/>
              <w:rPr>
                <w:rFonts w:ascii="Arial" w:hAnsi="Arial" w:cs="Arial"/>
                <w:szCs w:val="24"/>
              </w:rPr>
            </w:pPr>
            <w:r>
              <w:rPr>
                <w:rFonts w:ascii="Arial" w:hAnsi="Arial" w:cs="Arial"/>
                <w:szCs w:val="24"/>
              </w:rPr>
              <w:t xml:space="preserve">Richard Gaunt, NED, noted that RAG ratings and benchmarking within the IPR was helpful for analysing performance statistics and requested that those performance indicators without a benchmark be provided with one. It was explained that those without a benchmark was due to there not being a national target however it was agreed the Trust could provide its own benchmark targets; </w:t>
            </w:r>
          </w:p>
          <w:p w:rsidR="002F1276" w:rsidRDefault="002F1276" w:rsidP="00096C7E">
            <w:pPr>
              <w:pStyle w:val="ListParagraph"/>
              <w:numPr>
                <w:ilvl w:val="0"/>
                <w:numId w:val="34"/>
              </w:numPr>
              <w:spacing w:before="0" w:after="0"/>
              <w:rPr>
                <w:rFonts w:ascii="Arial" w:hAnsi="Arial" w:cs="Arial"/>
                <w:szCs w:val="24"/>
              </w:rPr>
            </w:pPr>
            <w:r>
              <w:rPr>
                <w:rFonts w:ascii="Arial" w:hAnsi="Arial" w:cs="Arial"/>
                <w:szCs w:val="24"/>
              </w:rPr>
              <w:t xml:space="preserve">Chris Burton highlighted that the Trust had seen a small increase in Covid-19 cases (less than 10) with no hospital acquired infections; </w:t>
            </w:r>
          </w:p>
          <w:p w:rsidR="002F1276" w:rsidRPr="00E04CCA" w:rsidRDefault="002F1276" w:rsidP="00E04CCA">
            <w:pPr>
              <w:pStyle w:val="ListParagraph"/>
              <w:numPr>
                <w:ilvl w:val="0"/>
                <w:numId w:val="34"/>
              </w:numPr>
              <w:spacing w:before="0" w:after="0"/>
              <w:rPr>
                <w:szCs w:val="24"/>
              </w:rPr>
            </w:pPr>
            <w:r>
              <w:rPr>
                <w:rFonts w:ascii="Arial" w:hAnsi="Arial" w:cs="Arial"/>
                <w:szCs w:val="24"/>
              </w:rPr>
              <w:t>Chris Burton further highlighted that comparator data for mortality would be difficult to interpret within the current context of changing activity and patient types.</w:t>
            </w:r>
          </w:p>
          <w:p w:rsidR="002F1276" w:rsidRDefault="002F1276" w:rsidP="00E04CCA">
            <w:pPr>
              <w:pStyle w:val="ListParagraph"/>
              <w:spacing w:before="0" w:after="0"/>
              <w:ind w:left="360"/>
              <w:rPr>
                <w:szCs w:val="24"/>
              </w:rPr>
            </w:pPr>
            <w:r>
              <w:rPr>
                <w:szCs w:val="24"/>
              </w:rPr>
              <w:t xml:space="preserve"> </w:t>
            </w:r>
          </w:p>
          <w:p w:rsidR="002F1276" w:rsidRPr="00496CFB" w:rsidRDefault="002F1276" w:rsidP="005F76C2">
            <w:pPr>
              <w:spacing w:before="0" w:after="0"/>
              <w:rPr>
                <w:b/>
                <w:szCs w:val="24"/>
              </w:rPr>
            </w:pPr>
            <w:r w:rsidRPr="00496CFB">
              <w:rPr>
                <w:b/>
                <w:szCs w:val="24"/>
              </w:rPr>
              <w:t>RESOLVED that:</w:t>
            </w:r>
          </w:p>
          <w:p w:rsidR="002F1276" w:rsidRDefault="002F1276" w:rsidP="00496CFB">
            <w:pPr>
              <w:pStyle w:val="ListParagraph"/>
              <w:numPr>
                <w:ilvl w:val="0"/>
                <w:numId w:val="42"/>
              </w:numPr>
              <w:spacing w:before="0" w:after="0"/>
              <w:rPr>
                <w:rFonts w:ascii="Arial" w:hAnsi="Arial" w:cs="Arial"/>
                <w:b/>
                <w:szCs w:val="24"/>
              </w:rPr>
            </w:pPr>
            <w:r>
              <w:rPr>
                <w:rFonts w:ascii="Arial" w:hAnsi="Arial" w:cs="Arial"/>
                <w:b/>
                <w:szCs w:val="24"/>
              </w:rPr>
              <w:t>T</w:t>
            </w:r>
            <w:r w:rsidRPr="00496CFB">
              <w:rPr>
                <w:rFonts w:ascii="Arial" w:hAnsi="Arial" w:cs="Arial"/>
                <w:b/>
                <w:szCs w:val="24"/>
              </w:rPr>
              <w:t>he Integra</w:t>
            </w:r>
            <w:r>
              <w:rPr>
                <w:rFonts w:ascii="Arial" w:hAnsi="Arial" w:cs="Arial"/>
                <w:b/>
                <w:szCs w:val="24"/>
              </w:rPr>
              <w:t>ted Performance Report was</w:t>
            </w:r>
            <w:r w:rsidRPr="00496CFB">
              <w:rPr>
                <w:rFonts w:ascii="Arial" w:hAnsi="Arial" w:cs="Arial"/>
                <w:b/>
                <w:szCs w:val="24"/>
              </w:rPr>
              <w:t xml:space="preserve"> noted</w:t>
            </w:r>
            <w:r>
              <w:rPr>
                <w:rFonts w:ascii="Arial" w:hAnsi="Arial" w:cs="Arial"/>
                <w:b/>
                <w:szCs w:val="24"/>
              </w:rPr>
              <w:t>;</w:t>
            </w:r>
          </w:p>
          <w:p w:rsidR="002F1276" w:rsidRPr="00195201" w:rsidRDefault="002F1276" w:rsidP="00496CFB">
            <w:pPr>
              <w:pStyle w:val="ListParagraph"/>
              <w:numPr>
                <w:ilvl w:val="0"/>
                <w:numId w:val="42"/>
              </w:numPr>
              <w:spacing w:before="0" w:after="0"/>
              <w:rPr>
                <w:rFonts w:ascii="Arial" w:hAnsi="Arial" w:cs="Arial"/>
                <w:b/>
                <w:szCs w:val="24"/>
              </w:rPr>
            </w:pPr>
            <w:r>
              <w:rPr>
                <w:rFonts w:ascii="Arial" w:hAnsi="Arial" w:cs="Arial"/>
                <w:b/>
                <w:szCs w:val="24"/>
              </w:rPr>
              <w:t>W</w:t>
            </w:r>
            <w:r w:rsidRPr="00496CFB">
              <w:rPr>
                <w:rFonts w:ascii="Arial" w:hAnsi="Arial" w:cs="Arial"/>
                <w:b/>
                <w:szCs w:val="24"/>
              </w:rPr>
              <w:t xml:space="preserve">ork be carried out to provide benchmarking for those </w:t>
            </w:r>
            <w:r w:rsidRPr="00195201">
              <w:rPr>
                <w:rFonts w:ascii="Arial" w:hAnsi="Arial" w:cs="Arial"/>
                <w:b/>
                <w:szCs w:val="24"/>
              </w:rPr>
              <w:t>performance indicators currently without a benchmark;</w:t>
            </w:r>
          </w:p>
          <w:p w:rsidR="002F1276" w:rsidRPr="00195201" w:rsidRDefault="002F1276" w:rsidP="00496CFB">
            <w:pPr>
              <w:pStyle w:val="ListParagraph"/>
              <w:numPr>
                <w:ilvl w:val="0"/>
                <w:numId w:val="42"/>
              </w:numPr>
              <w:spacing w:before="0" w:after="0"/>
              <w:rPr>
                <w:rFonts w:ascii="Arial" w:hAnsi="Arial" w:cs="Arial"/>
                <w:b/>
                <w:szCs w:val="24"/>
              </w:rPr>
            </w:pPr>
            <w:r w:rsidRPr="00195201">
              <w:rPr>
                <w:rFonts w:ascii="Arial" w:hAnsi="Arial" w:cs="Arial"/>
                <w:b/>
                <w:szCs w:val="24"/>
              </w:rPr>
              <w:t>The Provider Licence Compliance Statements be approved;</w:t>
            </w:r>
          </w:p>
          <w:p w:rsidR="002F1276" w:rsidRPr="00B341FD" w:rsidRDefault="002F1276" w:rsidP="005F76C2">
            <w:pPr>
              <w:pStyle w:val="ListParagraph"/>
              <w:numPr>
                <w:ilvl w:val="0"/>
                <w:numId w:val="42"/>
              </w:numPr>
              <w:spacing w:before="0" w:after="0"/>
              <w:rPr>
                <w:b/>
                <w:szCs w:val="24"/>
              </w:rPr>
            </w:pPr>
            <w:proofErr w:type="gramStart"/>
            <w:r w:rsidRPr="00B341FD">
              <w:rPr>
                <w:rFonts w:ascii="Arial" w:hAnsi="Arial" w:cs="Arial"/>
                <w:b/>
                <w:szCs w:val="24"/>
              </w:rPr>
              <w:t>Staff were</w:t>
            </w:r>
            <w:proofErr w:type="gramEnd"/>
            <w:r w:rsidRPr="00B341FD">
              <w:rPr>
                <w:rFonts w:ascii="Arial" w:hAnsi="Arial" w:cs="Arial"/>
                <w:b/>
                <w:szCs w:val="24"/>
              </w:rPr>
              <w:t xml:space="preserve"> thanked for accomplishments in difficult circumstances.</w:t>
            </w:r>
          </w:p>
          <w:p w:rsidR="002F1276" w:rsidRPr="001A1289" w:rsidRDefault="002F1276" w:rsidP="005F76C2">
            <w:pPr>
              <w:spacing w:before="0" w:after="0"/>
              <w:rPr>
                <w:b/>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1276" w:rsidRPr="002F1276" w:rsidRDefault="002F1276" w:rsidP="00B5378B">
            <w:pPr>
              <w:tabs>
                <w:tab w:val="left" w:pos="1985"/>
              </w:tabs>
              <w:snapToGrid w:val="0"/>
              <w:ind w:right="-108"/>
              <w:contextualSpacing/>
              <w:jc w:val="both"/>
              <w:rPr>
                <w:b/>
                <w:sz w:val="700"/>
                <w:szCs w:val="700"/>
              </w:rPr>
            </w:pPr>
          </w:p>
          <w:p w:rsidR="002F1276" w:rsidRPr="002F1276" w:rsidRDefault="002F1276" w:rsidP="00B5378B">
            <w:pPr>
              <w:tabs>
                <w:tab w:val="left" w:pos="1985"/>
              </w:tabs>
              <w:snapToGrid w:val="0"/>
              <w:ind w:right="-108"/>
              <w:contextualSpacing/>
              <w:jc w:val="both"/>
              <w:rPr>
                <w:b/>
                <w:sz w:val="1200"/>
                <w:szCs w:val="1200"/>
              </w:rPr>
            </w:pPr>
          </w:p>
          <w:p w:rsidR="002F1276" w:rsidRPr="002F1276" w:rsidRDefault="002F1276" w:rsidP="00B5378B">
            <w:pPr>
              <w:tabs>
                <w:tab w:val="left" w:pos="1985"/>
              </w:tabs>
              <w:snapToGrid w:val="0"/>
              <w:ind w:right="-108"/>
              <w:contextualSpacing/>
              <w:jc w:val="both"/>
              <w:rPr>
                <w:b/>
                <w:sz w:val="440"/>
                <w:szCs w:val="440"/>
              </w:rPr>
            </w:pPr>
          </w:p>
          <w:p w:rsidR="002F1276" w:rsidRDefault="002F1276" w:rsidP="00B5378B">
            <w:pPr>
              <w:tabs>
                <w:tab w:val="left" w:pos="1985"/>
              </w:tabs>
              <w:snapToGrid w:val="0"/>
              <w:ind w:right="-108"/>
              <w:contextualSpacing/>
              <w:jc w:val="both"/>
              <w:rPr>
                <w:b/>
              </w:rPr>
            </w:pPr>
            <w:r>
              <w:rPr>
                <w:b/>
              </w:rPr>
              <w:t>EB/CB/ HB</w:t>
            </w:r>
          </w:p>
          <w:p w:rsidR="002F1276" w:rsidRDefault="002F1276" w:rsidP="00B5378B">
            <w:pPr>
              <w:tabs>
                <w:tab w:val="left" w:pos="1985"/>
              </w:tabs>
              <w:snapToGrid w:val="0"/>
              <w:ind w:right="-108"/>
              <w:contextualSpacing/>
              <w:jc w:val="both"/>
              <w:rPr>
                <w:b/>
              </w:rPr>
            </w:pPr>
          </w:p>
          <w:p w:rsidR="002F1276" w:rsidRDefault="002F1276" w:rsidP="00B5378B">
            <w:pPr>
              <w:tabs>
                <w:tab w:val="left" w:pos="1985"/>
              </w:tabs>
              <w:snapToGrid w:val="0"/>
              <w:ind w:right="-108"/>
              <w:contextualSpacing/>
              <w:jc w:val="both"/>
              <w:rPr>
                <w:b/>
              </w:rPr>
            </w:pPr>
          </w:p>
        </w:tc>
      </w:tr>
      <w:tr w:rsidR="002F1276" w:rsidTr="00B341FD">
        <w:tblPrEx>
          <w:tblBorders>
            <w:insideH w:val="none" w:sz="0" w:space="0" w:color="auto"/>
            <w:insideV w:val="none" w:sz="0" w:space="0" w:color="auto"/>
          </w:tblBorders>
        </w:tblPrEx>
        <w:trPr>
          <w:gridBefore w:val="1"/>
          <w:gridAfter w:val="1"/>
          <w:wBefore w:w="425" w:type="dxa"/>
          <w:wAfter w:w="284" w:type="dxa"/>
        </w:trPr>
        <w:tc>
          <w:tcPr>
            <w:tcW w:w="1702" w:type="dxa"/>
            <w:tcBorders>
              <w:top w:val="single" w:sz="4" w:space="0" w:color="auto"/>
              <w:left w:val="single" w:sz="4" w:space="0" w:color="auto"/>
              <w:bottom w:val="single" w:sz="4" w:space="0" w:color="auto"/>
              <w:right w:val="single" w:sz="4" w:space="0" w:color="auto"/>
            </w:tcBorders>
            <w:shd w:val="clear" w:color="auto" w:fill="auto"/>
          </w:tcPr>
          <w:p w:rsidR="002F1276" w:rsidRDefault="002F1276" w:rsidP="00B5378B">
            <w:pPr>
              <w:tabs>
                <w:tab w:val="left" w:pos="1985"/>
              </w:tabs>
              <w:snapToGrid w:val="0"/>
              <w:spacing w:before="0" w:after="0"/>
              <w:contextualSpacing/>
              <w:jc w:val="both"/>
              <w:rPr>
                <w:b/>
              </w:rPr>
            </w:pPr>
            <w:r>
              <w:rPr>
                <w:b/>
              </w:rPr>
              <w:t>TB/20/09/08</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Pr>
          <w:p w:rsidR="002F1276" w:rsidRPr="003165B3" w:rsidRDefault="002F1276" w:rsidP="00A01A4D">
            <w:pPr>
              <w:spacing w:before="0" w:after="0"/>
              <w:rPr>
                <w:b/>
              </w:rPr>
            </w:pPr>
            <w:r w:rsidRPr="00ED7F36">
              <w:rPr>
                <w:b/>
              </w:rPr>
              <w:t>Medical Appraisal And Revalidation – Annual Report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1276" w:rsidRDefault="002F1276" w:rsidP="00980139">
            <w:pPr>
              <w:tabs>
                <w:tab w:val="left" w:pos="1985"/>
              </w:tabs>
              <w:snapToGrid w:val="0"/>
              <w:ind w:right="-108"/>
              <w:contextualSpacing/>
              <w:jc w:val="both"/>
              <w:rPr>
                <w:b/>
              </w:rPr>
            </w:pPr>
          </w:p>
        </w:tc>
      </w:tr>
      <w:tr w:rsidR="002F1276" w:rsidTr="00B341FD">
        <w:tblPrEx>
          <w:tblBorders>
            <w:insideH w:val="none" w:sz="0" w:space="0" w:color="auto"/>
            <w:insideV w:val="none" w:sz="0" w:space="0" w:color="auto"/>
          </w:tblBorders>
        </w:tblPrEx>
        <w:trPr>
          <w:gridBefore w:val="1"/>
          <w:gridAfter w:val="1"/>
          <w:wBefore w:w="425" w:type="dxa"/>
          <w:wAfter w:w="284" w:type="dxa"/>
        </w:trPr>
        <w:tc>
          <w:tcPr>
            <w:tcW w:w="1702" w:type="dxa"/>
            <w:tcBorders>
              <w:top w:val="single" w:sz="4" w:space="0" w:color="auto"/>
              <w:left w:val="single" w:sz="4" w:space="0" w:color="auto"/>
              <w:bottom w:val="single" w:sz="4" w:space="0" w:color="auto"/>
              <w:right w:val="single" w:sz="4" w:space="0" w:color="auto"/>
            </w:tcBorders>
            <w:shd w:val="clear" w:color="auto" w:fill="auto"/>
          </w:tcPr>
          <w:p w:rsidR="002F1276" w:rsidRDefault="002F1276" w:rsidP="00980139">
            <w:pPr>
              <w:tabs>
                <w:tab w:val="left" w:pos="1985"/>
              </w:tabs>
              <w:snapToGrid w:val="0"/>
              <w:contextualSpacing/>
              <w:jc w:val="both"/>
              <w:rPr>
                <w:b/>
              </w:rPr>
            </w:pP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Pr>
          <w:p w:rsidR="002F1276" w:rsidRPr="00F00AE9" w:rsidRDefault="002F1276" w:rsidP="00A6066F">
            <w:pPr>
              <w:pStyle w:val="ListParagraph"/>
              <w:spacing w:before="0" w:after="0"/>
              <w:ind w:left="0"/>
              <w:rPr>
                <w:rFonts w:ascii="Arial" w:hAnsi="Arial" w:cs="Arial"/>
                <w:sz w:val="10"/>
                <w:szCs w:val="10"/>
              </w:rPr>
            </w:pPr>
          </w:p>
          <w:p w:rsidR="002F1276" w:rsidRPr="00312FDD" w:rsidRDefault="002F1276" w:rsidP="00B5378B">
            <w:pPr>
              <w:spacing w:before="0" w:after="0"/>
              <w:rPr>
                <w:sz w:val="4"/>
                <w:szCs w:val="4"/>
              </w:rPr>
            </w:pPr>
          </w:p>
          <w:p w:rsidR="002F1276" w:rsidRDefault="002F1276" w:rsidP="00B5378B">
            <w:pPr>
              <w:spacing w:before="0" w:after="0"/>
            </w:pPr>
            <w:r>
              <w:t xml:space="preserve">Chris Burton, Medical Director, presented the Medical Appraisal and Revalidation </w:t>
            </w:r>
            <w:r w:rsidRPr="00312FDD">
              <w:t>Annual Report</w:t>
            </w:r>
            <w:r>
              <w:t xml:space="preserve"> for ratification. The Trust had chosen to complete the report as good practice though NHSE had suspended the absolute requirement due to Covid-19. People and Digital Committee had reviewed the report in detail and noted the report reflected that the system was working well. The Trust had also committed to a further internal audit later in the year.</w:t>
            </w:r>
          </w:p>
          <w:p w:rsidR="002F1276" w:rsidRDefault="002F1276" w:rsidP="00B5378B">
            <w:pPr>
              <w:spacing w:before="0" w:after="0"/>
            </w:pPr>
          </w:p>
          <w:p w:rsidR="002F1276" w:rsidRDefault="002F1276" w:rsidP="002F1276">
            <w:pPr>
              <w:spacing w:before="0" w:after="0"/>
            </w:pPr>
            <w:r>
              <w:t>Andrea Young linked the report to the number of ongoing conversations regarding giving patient’s assurance regarding the safety of hospital. She also thanked the team and in particular Nick Standen for their impressive work providing quality assurance to the Board and reflecting the commitment to learning that NBT colleagues had.</w:t>
            </w:r>
          </w:p>
          <w:p w:rsidR="002F1276" w:rsidRPr="00217FF7" w:rsidRDefault="002F1276" w:rsidP="002F1276">
            <w:pPr>
              <w:spacing w:before="0" w:after="0"/>
            </w:pPr>
          </w:p>
          <w:p w:rsidR="002F1276" w:rsidRDefault="002F1276" w:rsidP="00B5378B">
            <w:pPr>
              <w:spacing w:before="0" w:after="0"/>
              <w:rPr>
                <w:b/>
              </w:rPr>
            </w:pPr>
            <w:r w:rsidRPr="00217FF7">
              <w:rPr>
                <w:b/>
              </w:rPr>
              <w:t>RESOLVED that</w:t>
            </w:r>
            <w:r>
              <w:rPr>
                <w:b/>
              </w:rPr>
              <w:t xml:space="preserve"> the Board </w:t>
            </w:r>
            <w:r w:rsidRPr="00312FDD">
              <w:rPr>
                <w:b/>
              </w:rPr>
              <w:t>review</w:t>
            </w:r>
            <w:r>
              <w:rPr>
                <w:b/>
              </w:rPr>
              <w:t>ed</w:t>
            </w:r>
            <w:r w:rsidRPr="00312FDD">
              <w:rPr>
                <w:b/>
              </w:rPr>
              <w:t xml:space="preserve"> the content of the report for information and </w:t>
            </w:r>
            <w:r>
              <w:rPr>
                <w:b/>
              </w:rPr>
              <w:t xml:space="preserve">agreed that the Chief Executive </w:t>
            </w:r>
            <w:r w:rsidRPr="00312FDD">
              <w:rPr>
                <w:b/>
              </w:rPr>
              <w:t xml:space="preserve">sign the statement of compliance </w:t>
            </w:r>
            <w:r>
              <w:rPr>
                <w:b/>
              </w:rPr>
              <w:t>on behalf of the Board.</w:t>
            </w:r>
          </w:p>
          <w:p w:rsidR="002F1276" w:rsidRPr="00A6066F" w:rsidRDefault="002F1276" w:rsidP="00B5378B">
            <w:pPr>
              <w:spacing w:before="0" w:after="0"/>
              <w:rPr>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1276" w:rsidRDefault="002F1276" w:rsidP="00980139">
            <w:pPr>
              <w:tabs>
                <w:tab w:val="left" w:pos="1985"/>
              </w:tabs>
              <w:snapToGrid w:val="0"/>
              <w:ind w:right="-108"/>
              <w:contextualSpacing/>
              <w:jc w:val="both"/>
              <w:rPr>
                <w:b/>
              </w:rPr>
            </w:pPr>
          </w:p>
          <w:p w:rsidR="002F1276" w:rsidRDefault="002F1276" w:rsidP="00980139">
            <w:pPr>
              <w:tabs>
                <w:tab w:val="left" w:pos="1985"/>
              </w:tabs>
              <w:snapToGrid w:val="0"/>
              <w:ind w:right="-108"/>
              <w:contextualSpacing/>
              <w:jc w:val="both"/>
              <w:rPr>
                <w:b/>
              </w:rPr>
            </w:pPr>
          </w:p>
          <w:p w:rsidR="002F1276" w:rsidRDefault="002F1276" w:rsidP="00980139">
            <w:pPr>
              <w:tabs>
                <w:tab w:val="left" w:pos="1985"/>
              </w:tabs>
              <w:snapToGrid w:val="0"/>
              <w:ind w:right="-108"/>
              <w:contextualSpacing/>
              <w:jc w:val="both"/>
              <w:rPr>
                <w:b/>
              </w:rPr>
            </w:pPr>
          </w:p>
          <w:p w:rsidR="002F1276" w:rsidRDefault="002F1276" w:rsidP="00980139">
            <w:pPr>
              <w:tabs>
                <w:tab w:val="left" w:pos="1985"/>
              </w:tabs>
              <w:snapToGrid w:val="0"/>
              <w:ind w:right="-108"/>
              <w:contextualSpacing/>
              <w:jc w:val="both"/>
              <w:rPr>
                <w:b/>
              </w:rPr>
            </w:pPr>
          </w:p>
        </w:tc>
      </w:tr>
      <w:tr w:rsidR="002F1276" w:rsidTr="00B341FD">
        <w:tblPrEx>
          <w:tblBorders>
            <w:insideH w:val="none" w:sz="0" w:space="0" w:color="auto"/>
            <w:insideV w:val="none" w:sz="0" w:space="0" w:color="auto"/>
          </w:tblBorders>
        </w:tblPrEx>
        <w:trPr>
          <w:gridBefore w:val="1"/>
          <w:gridAfter w:val="1"/>
          <w:wBefore w:w="425" w:type="dxa"/>
          <w:wAfter w:w="284" w:type="dxa"/>
          <w:trHeight w:val="64"/>
        </w:trPr>
        <w:tc>
          <w:tcPr>
            <w:tcW w:w="1702" w:type="dxa"/>
            <w:tcBorders>
              <w:top w:val="single" w:sz="4" w:space="0" w:color="auto"/>
              <w:left w:val="single" w:sz="4" w:space="0" w:color="auto"/>
              <w:bottom w:val="single" w:sz="4" w:space="0" w:color="auto"/>
              <w:right w:val="single" w:sz="4" w:space="0" w:color="auto"/>
            </w:tcBorders>
            <w:shd w:val="clear" w:color="auto" w:fill="auto"/>
          </w:tcPr>
          <w:p w:rsidR="002F1276" w:rsidRDefault="002F1276" w:rsidP="00AE01E8">
            <w:pPr>
              <w:tabs>
                <w:tab w:val="left" w:pos="1985"/>
              </w:tabs>
              <w:snapToGrid w:val="0"/>
              <w:contextualSpacing/>
              <w:jc w:val="both"/>
              <w:rPr>
                <w:b/>
              </w:rPr>
            </w:pPr>
            <w:r>
              <w:rPr>
                <w:b/>
              </w:rPr>
              <w:t>TB/20/09/09</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Pr>
          <w:p w:rsidR="002F1276" w:rsidRDefault="002F1276" w:rsidP="00B945E9">
            <w:pPr>
              <w:spacing w:before="0" w:after="0"/>
              <w:rPr>
                <w:b/>
              </w:rPr>
            </w:pPr>
            <w:r w:rsidRPr="00ED7F36">
              <w:rPr>
                <w:b/>
              </w:rPr>
              <w:t>People Strategy</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1276" w:rsidRDefault="002F1276" w:rsidP="00980139">
            <w:pPr>
              <w:tabs>
                <w:tab w:val="left" w:pos="1985"/>
              </w:tabs>
              <w:snapToGrid w:val="0"/>
              <w:ind w:right="-108"/>
              <w:contextualSpacing/>
              <w:jc w:val="both"/>
              <w:rPr>
                <w:b/>
              </w:rPr>
            </w:pPr>
          </w:p>
        </w:tc>
      </w:tr>
      <w:tr w:rsidR="002F1276" w:rsidTr="00B341FD">
        <w:tblPrEx>
          <w:tblBorders>
            <w:insideH w:val="none" w:sz="0" w:space="0" w:color="auto"/>
            <w:insideV w:val="none" w:sz="0" w:space="0" w:color="auto"/>
          </w:tblBorders>
        </w:tblPrEx>
        <w:trPr>
          <w:gridBefore w:val="1"/>
          <w:gridAfter w:val="1"/>
          <w:wBefore w:w="425" w:type="dxa"/>
          <w:wAfter w:w="284" w:type="dxa"/>
          <w:trHeight w:val="64"/>
        </w:trPr>
        <w:tc>
          <w:tcPr>
            <w:tcW w:w="1702" w:type="dxa"/>
            <w:tcBorders>
              <w:top w:val="single" w:sz="4" w:space="0" w:color="auto"/>
              <w:left w:val="single" w:sz="4" w:space="0" w:color="auto"/>
              <w:bottom w:val="single" w:sz="4" w:space="0" w:color="auto"/>
              <w:right w:val="single" w:sz="4" w:space="0" w:color="auto"/>
            </w:tcBorders>
            <w:shd w:val="clear" w:color="auto" w:fill="auto"/>
          </w:tcPr>
          <w:p w:rsidR="002F1276" w:rsidRDefault="002F1276" w:rsidP="00F937D0">
            <w:pPr>
              <w:tabs>
                <w:tab w:val="left" w:pos="1985"/>
              </w:tabs>
              <w:snapToGrid w:val="0"/>
              <w:contextualSpacing/>
              <w:jc w:val="both"/>
              <w:rPr>
                <w:b/>
              </w:rPr>
            </w:pP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Pr>
          <w:p w:rsidR="002F1276" w:rsidRDefault="002F1276" w:rsidP="00B945E9">
            <w:pPr>
              <w:spacing w:before="0" w:after="0"/>
            </w:pPr>
          </w:p>
          <w:p w:rsidR="002F1276" w:rsidRDefault="002F1276" w:rsidP="00D11C98">
            <w:pPr>
              <w:spacing w:before="0" w:after="0"/>
            </w:pPr>
            <w:r>
              <w:t>Jacqui Marshall, Director of People and Transformation, presented the People Strategy for final approval. The strategy had been through extensive consultation and was created as an accessible document for both an internal and external audience. It was noted that encompassing lived experience had been critical to creation of the Strategy and that the main focus of the Trust was to ensure it was a compassionate and inclusive employer that was an anchor of the community. The NBT People Strategy 2020-2025 detailed three key strategic themes:</w:t>
            </w:r>
          </w:p>
          <w:p w:rsidR="002F1276" w:rsidRDefault="002F1276" w:rsidP="00D11C98">
            <w:pPr>
              <w:spacing w:before="0" w:after="0"/>
            </w:pPr>
          </w:p>
          <w:p w:rsidR="002F1276" w:rsidRPr="00D11C98" w:rsidRDefault="002F1276" w:rsidP="00D11C98">
            <w:pPr>
              <w:pStyle w:val="ListParagraph"/>
              <w:numPr>
                <w:ilvl w:val="0"/>
                <w:numId w:val="43"/>
              </w:numPr>
              <w:spacing w:before="0" w:after="0"/>
              <w:rPr>
                <w:rFonts w:ascii="Arial" w:hAnsi="Arial" w:cs="Arial"/>
              </w:rPr>
            </w:pPr>
            <w:r w:rsidRPr="00D11C98">
              <w:rPr>
                <w:rFonts w:ascii="Arial" w:hAnsi="Arial" w:cs="Arial"/>
                <w:b/>
              </w:rPr>
              <w:t>Great Place to Work</w:t>
            </w:r>
            <w:r w:rsidRPr="00D11C98">
              <w:rPr>
                <w:rFonts w:ascii="Arial" w:hAnsi="Arial" w:cs="Arial"/>
              </w:rPr>
              <w:t xml:space="preserve"> (“Valuing you” EDI Strategy; Just Culture; Voice;</w:t>
            </w:r>
            <w:r>
              <w:rPr>
                <w:rFonts w:ascii="Arial" w:hAnsi="Arial" w:cs="Arial"/>
              </w:rPr>
              <w:t xml:space="preserve"> </w:t>
            </w:r>
            <w:r w:rsidRPr="00D11C98">
              <w:rPr>
                <w:rFonts w:ascii="Arial" w:hAnsi="Arial" w:cs="Arial"/>
              </w:rPr>
              <w:t>Wellbeing built into appraisals</w:t>
            </w:r>
            <w:r>
              <w:rPr>
                <w:rFonts w:ascii="Arial" w:hAnsi="Arial" w:cs="Arial"/>
              </w:rPr>
              <w:t>);</w:t>
            </w:r>
          </w:p>
          <w:p w:rsidR="002F1276" w:rsidRPr="00D11C98" w:rsidRDefault="002F1276" w:rsidP="00D11C98">
            <w:pPr>
              <w:pStyle w:val="ListParagraph"/>
              <w:numPr>
                <w:ilvl w:val="0"/>
                <w:numId w:val="43"/>
              </w:numPr>
              <w:spacing w:before="0" w:after="0"/>
              <w:rPr>
                <w:rFonts w:ascii="Arial" w:hAnsi="Arial" w:cs="Arial"/>
              </w:rPr>
            </w:pPr>
            <w:r w:rsidRPr="00D11C98">
              <w:rPr>
                <w:rFonts w:ascii="Arial" w:hAnsi="Arial" w:cs="Arial"/>
                <w:b/>
              </w:rPr>
              <w:t>Growing and Developing our Workforce</w:t>
            </w:r>
            <w:r w:rsidRPr="00D11C98">
              <w:rPr>
                <w:rFonts w:ascii="Arial" w:hAnsi="Arial" w:cs="Arial"/>
              </w:rPr>
              <w:t xml:space="preserve"> (Flexible self-directed learning; e-Passports; Growing international pipeline;</w:t>
            </w:r>
            <w:r>
              <w:rPr>
                <w:rFonts w:ascii="Arial" w:hAnsi="Arial" w:cs="Arial"/>
              </w:rPr>
              <w:t xml:space="preserve"> </w:t>
            </w:r>
            <w:r w:rsidRPr="00D11C98">
              <w:rPr>
                <w:rFonts w:ascii="Arial" w:hAnsi="Arial" w:cs="Arial"/>
              </w:rPr>
              <w:t>Expanding apprenticeships; Flexible Working; Retention Programme</w:t>
            </w:r>
            <w:r>
              <w:rPr>
                <w:rFonts w:ascii="Arial" w:hAnsi="Arial" w:cs="Arial"/>
              </w:rPr>
              <w:t>);</w:t>
            </w:r>
          </w:p>
          <w:p w:rsidR="002F1276" w:rsidRPr="00195201" w:rsidRDefault="002F1276" w:rsidP="00D11C98">
            <w:pPr>
              <w:pStyle w:val="ListParagraph"/>
              <w:numPr>
                <w:ilvl w:val="0"/>
                <w:numId w:val="43"/>
              </w:numPr>
              <w:spacing w:before="0" w:after="0"/>
            </w:pPr>
            <w:r w:rsidRPr="00D11C98">
              <w:rPr>
                <w:rFonts w:ascii="Arial" w:hAnsi="Arial" w:cs="Arial"/>
                <w:b/>
              </w:rPr>
              <w:t>Better People Support</w:t>
            </w:r>
            <w:r w:rsidRPr="00D11C98">
              <w:rPr>
                <w:rFonts w:ascii="Arial" w:hAnsi="Arial" w:cs="Arial"/>
              </w:rPr>
              <w:t xml:space="preserve"> (Easy to use Policies; ESR – electronic files, line </w:t>
            </w:r>
            <w:r w:rsidRPr="00195201">
              <w:rPr>
                <w:rFonts w:ascii="Arial" w:hAnsi="Arial" w:cs="Arial"/>
              </w:rPr>
              <w:t>manager and self-service; Real time HR Data; HR Balanced Scorecard).</w:t>
            </w:r>
          </w:p>
          <w:p w:rsidR="002F1276" w:rsidRPr="00195201" w:rsidRDefault="002F1276" w:rsidP="00130B26">
            <w:pPr>
              <w:pStyle w:val="ListParagraph"/>
              <w:spacing w:before="0" w:after="0"/>
              <w:rPr>
                <w:sz w:val="10"/>
                <w:szCs w:val="10"/>
              </w:rPr>
            </w:pPr>
          </w:p>
          <w:p w:rsidR="002F1276" w:rsidRDefault="002F1276" w:rsidP="00130B26">
            <w:pPr>
              <w:spacing w:before="0" w:after="0"/>
            </w:pPr>
            <w:r w:rsidRPr="00195201">
              <w:t>Jacqui Marshall proceeded to detail a number of initiatives already underway at the Trust and highlighted achievements to date such as a focus on HR case work and associated legal spend that had reduced external legal spend on HR dramatically.</w:t>
            </w:r>
          </w:p>
          <w:p w:rsidR="002F1276" w:rsidRDefault="002F1276" w:rsidP="00130B26">
            <w:pPr>
              <w:spacing w:before="0" w:after="0"/>
            </w:pPr>
          </w:p>
          <w:p w:rsidR="002F1276" w:rsidRDefault="002F1276" w:rsidP="00B945E9">
            <w:pPr>
              <w:spacing w:before="0" w:after="0"/>
            </w:pPr>
            <w:r>
              <w:t xml:space="preserve">Andrea Young echoed the vision of the People Strategy and emphasized that the Trust must ensure staff felt cared for and valued as well as being innovative in employment. The latter was likely to be especially pertinent as the Trust expected to have a large role in recovery from Covid-19 regarding providing jobs and careers. The Trust would continue to aim for having a choice of candidates who would embrace the just, open, transparent and compassionate culture. </w:t>
            </w:r>
          </w:p>
          <w:p w:rsidR="002F1276" w:rsidRDefault="002F1276" w:rsidP="00B945E9">
            <w:pPr>
              <w:spacing w:before="0" w:after="0"/>
            </w:pPr>
          </w:p>
          <w:p w:rsidR="002F1276" w:rsidRDefault="002F1276" w:rsidP="00B945E9">
            <w:pPr>
              <w:spacing w:before="0" w:after="0"/>
            </w:pPr>
            <w:r>
              <w:t xml:space="preserve">LaToyah McAllister Jones and Ade Williams, Associate NEDs, both commended the Strategy and noted that the Equality, Diversity and Inclusion (EDI) agenda was significant on a local, national and global scale so they were pleased to see NBT leading the way as thought leaders and embedding positive change. </w:t>
            </w:r>
          </w:p>
          <w:p w:rsidR="002F1276" w:rsidRDefault="002F1276" w:rsidP="00B945E9">
            <w:pPr>
              <w:spacing w:before="0" w:after="0"/>
            </w:pPr>
          </w:p>
          <w:p w:rsidR="002F1276" w:rsidRDefault="002F1276" w:rsidP="00B945E9">
            <w:pPr>
              <w:spacing w:before="0" w:after="0"/>
            </w:pPr>
            <w:r>
              <w:t>LaToyah queried how NEDs and the Board would be able to track progress against the Strategy. Jacqui Marshall noted that key measures of success would be sustained improved retention and reduction in vacancies; improved wellbeing offers and reduction in sick absence; improved satisfaction / motivation measured by SAS; Pulse Survey results, Exit and Happy App Data; improved development career progression offer; and improved inclusivity / WRES / WDES scores.</w:t>
            </w:r>
          </w:p>
          <w:p w:rsidR="002F1276" w:rsidRDefault="002F1276" w:rsidP="00B945E9">
            <w:pPr>
              <w:spacing w:before="0" w:after="0"/>
            </w:pPr>
          </w:p>
          <w:p w:rsidR="002F1276" w:rsidRDefault="002F1276" w:rsidP="00B945E9">
            <w:pPr>
              <w:spacing w:before="0" w:after="0"/>
            </w:pPr>
            <w:r>
              <w:t>Ade Williams further queried when specific targets would be available. It was confirmed that a HR and Organisational Development review would begin in October 2020 to provide hard targets. John Everitt requested hard targets for the People Strategy that linked with overall Trust objectives and Strategy. Jacqui Marshall responded that yearly People targets were agreed as part of annual business planning, overseen by People and Digital Committee, and some performance objective measurements were detailed within the IPR.</w:t>
            </w:r>
          </w:p>
          <w:p w:rsidR="002F1276" w:rsidRDefault="002F1276" w:rsidP="00B945E9">
            <w:pPr>
              <w:spacing w:before="0" w:after="0"/>
            </w:pPr>
          </w:p>
          <w:p w:rsidR="002F1276" w:rsidRDefault="002F1276" w:rsidP="00B945E9">
            <w:pPr>
              <w:spacing w:before="0" w:after="0"/>
            </w:pPr>
            <w:r>
              <w:t xml:space="preserve">It was further noted that the People Strategy provided a real opportunity for system-wide working with PC, local authorities and community care. Jacqui Marshall confirmed she would ensure all initiatives were linked. </w:t>
            </w:r>
          </w:p>
          <w:p w:rsidR="002F1276" w:rsidRDefault="002F1276" w:rsidP="00B945E9">
            <w:pPr>
              <w:spacing w:before="0" w:after="0"/>
              <w:rPr>
                <w:b/>
              </w:rPr>
            </w:pPr>
          </w:p>
          <w:p w:rsidR="002F1276" w:rsidRDefault="002F1276" w:rsidP="004A0AE4">
            <w:pPr>
              <w:spacing w:before="0" w:after="0"/>
              <w:rPr>
                <w:b/>
              </w:rPr>
            </w:pPr>
            <w:r>
              <w:rPr>
                <w:b/>
              </w:rPr>
              <w:t>RESOLVED that Trust Board approved and commended NBT People Strategy 2020-2025 and agreed progress would be tracked through People and Digital Committee.</w:t>
            </w:r>
          </w:p>
          <w:p w:rsidR="002F1276" w:rsidRDefault="002F1276" w:rsidP="000D4F2E">
            <w:pPr>
              <w:tabs>
                <w:tab w:val="left" w:pos="1620"/>
                <w:tab w:val="center" w:pos="3506"/>
              </w:tabs>
              <w:spacing w:before="0" w:after="0"/>
              <w:rPr>
                <w:i/>
              </w:rPr>
            </w:pPr>
          </w:p>
          <w:p w:rsidR="002F1276" w:rsidRPr="000D4F2E" w:rsidRDefault="002F1276" w:rsidP="002F1276">
            <w:pPr>
              <w:tabs>
                <w:tab w:val="left" w:pos="1620"/>
                <w:tab w:val="center" w:pos="3506"/>
              </w:tabs>
              <w:spacing w:before="0" w:after="0"/>
              <w:jc w:val="center"/>
              <w:rPr>
                <w:i/>
              </w:rPr>
            </w:pPr>
            <w:r w:rsidRPr="000D4F2E">
              <w:rPr>
                <w:i/>
              </w:rPr>
              <w:t>Michele Romaine joined the meeting</w:t>
            </w:r>
          </w:p>
          <w:p w:rsidR="002F1276" w:rsidRPr="00F65466" w:rsidRDefault="002F1276" w:rsidP="004A0AE4">
            <w:pPr>
              <w:spacing w:before="0" w:after="0"/>
              <w:rPr>
                <w:b/>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1276" w:rsidRDefault="002F1276" w:rsidP="00980139">
            <w:pPr>
              <w:tabs>
                <w:tab w:val="left" w:pos="1985"/>
              </w:tabs>
              <w:snapToGrid w:val="0"/>
              <w:ind w:right="-108"/>
              <w:contextualSpacing/>
              <w:jc w:val="both"/>
              <w:rPr>
                <w:b/>
              </w:rPr>
            </w:pPr>
          </w:p>
          <w:p w:rsidR="002F1276" w:rsidRDefault="002F1276" w:rsidP="00980139">
            <w:pPr>
              <w:tabs>
                <w:tab w:val="left" w:pos="1985"/>
              </w:tabs>
              <w:snapToGrid w:val="0"/>
              <w:ind w:right="-108"/>
              <w:contextualSpacing/>
              <w:jc w:val="both"/>
              <w:rPr>
                <w:b/>
              </w:rPr>
            </w:pPr>
          </w:p>
          <w:p w:rsidR="002F1276" w:rsidRDefault="002F1276" w:rsidP="004A0AE4">
            <w:pPr>
              <w:tabs>
                <w:tab w:val="left" w:pos="1985"/>
              </w:tabs>
              <w:snapToGrid w:val="0"/>
              <w:ind w:right="-108"/>
              <w:contextualSpacing/>
              <w:jc w:val="both"/>
              <w:rPr>
                <w:b/>
              </w:rPr>
            </w:pPr>
          </w:p>
        </w:tc>
      </w:tr>
      <w:tr w:rsidR="002F1276" w:rsidTr="00B341FD">
        <w:tblPrEx>
          <w:tblBorders>
            <w:insideH w:val="none" w:sz="0" w:space="0" w:color="auto"/>
            <w:insideV w:val="none" w:sz="0" w:space="0" w:color="auto"/>
          </w:tblBorders>
        </w:tblPrEx>
        <w:trPr>
          <w:gridBefore w:val="1"/>
          <w:gridAfter w:val="1"/>
          <w:wBefore w:w="425" w:type="dxa"/>
          <w:wAfter w:w="284" w:type="dxa"/>
          <w:trHeight w:val="64"/>
        </w:trPr>
        <w:tc>
          <w:tcPr>
            <w:tcW w:w="1702" w:type="dxa"/>
            <w:tcBorders>
              <w:top w:val="single" w:sz="4" w:space="0" w:color="auto"/>
              <w:left w:val="single" w:sz="4" w:space="0" w:color="auto"/>
              <w:bottom w:val="single" w:sz="4" w:space="0" w:color="auto"/>
              <w:right w:val="single" w:sz="4" w:space="0" w:color="auto"/>
            </w:tcBorders>
            <w:shd w:val="clear" w:color="auto" w:fill="auto"/>
          </w:tcPr>
          <w:p w:rsidR="002F1276" w:rsidRDefault="002F1276" w:rsidP="00AE01E8">
            <w:pPr>
              <w:tabs>
                <w:tab w:val="left" w:pos="1985"/>
              </w:tabs>
              <w:snapToGrid w:val="0"/>
              <w:contextualSpacing/>
              <w:jc w:val="both"/>
              <w:rPr>
                <w:b/>
              </w:rPr>
            </w:pPr>
            <w:r>
              <w:rPr>
                <w:b/>
              </w:rPr>
              <w:t>TB/20/09/10</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Pr>
          <w:p w:rsidR="002F1276" w:rsidRDefault="002F1276" w:rsidP="00512C62">
            <w:pPr>
              <w:spacing w:before="0" w:after="0"/>
              <w:rPr>
                <w:b/>
              </w:rPr>
            </w:pPr>
            <w:r w:rsidRPr="00A7365C">
              <w:rPr>
                <w:b/>
              </w:rPr>
              <w:t>Patient &amp; Carer Exp</w:t>
            </w:r>
            <w:r>
              <w:rPr>
                <w:b/>
              </w:rPr>
              <w:t>erience Committee (P&amp;CE) Upward Report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1276" w:rsidRDefault="002F1276" w:rsidP="00980139">
            <w:pPr>
              <w:tabs>
                <w:tab w:val="left" w:pos="1985"/>
              </w:tabs>
              <w:snapToGrid w:val="0"/>
              <w:ind w:right="-108"/>
              <w:contextualSpacing/>
              <w:jc w:val="both"/>
              <w:rPr>
                <w:b/>
              </w:rPr>
            </w:pPr>
          </w:p>
        </w:tc>
      </w:tr>
      <w:tr w:rsidR="002F1276" w:rsidTr="00B341FD">
        <w:tblPrEx>
          <w:tblBorders>
            <w:insideH w:val="none" w:sz="0" w:space="0" w:color="auto"/>
            <w:insideV w:val="none" w:sz="0" w:space="0" w:color="auto"/>
          </w:tblBorders>
        </w:tblPrEx>
        <w:trPr>
          <w:gridBefore w:val="1"/>
          <w:gridAfter w:val="1"/>
          <w:wBefore w:w="425" w:type="dxa"/>
          <w:wAfter w:w="284" w:type="dxa"/>
          <w:trHeight w:val="64"/>
        </w:trPr>
        <w:tc>
          <w:tcPr>
            <w:tcW w:w="1702" w:type="dxa"/>
            <w:tcBorders>
              <w:top w:val="single" w:sz="4" w:space="0" w:color="auto"/>
              <w:left w:val="single" w:sz="4" w:space="0" w:color="auto"/>
              <w:bottom w:val="single" w:sz="4" w:space="0" w:color="auto"/>
              <w:right w:val="single" w:sz="4" w:space="0" w:color="auto"/>
            </w:tcBorders>
            <w:shd w:val="clear" w:color="auto" w:fill="auto"/>
          </w:tcPr>
          <w:p w:rsidR="002F1276" w:rsidRDefault="002F1276" w:rsidP="00F937D0">
            <w:pPr>
              <w:tabs>
                <w:tab w:val="left" w:pos="1985"/>
              </w:tabs>
              <w:snapToGrid w:val="0"/>
              <w:contextualSpacing/>
              <w:jc w:val="both"/>
              <w:rPr>
                <w:b/>
              </w:rPr>
            </w:pP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Pr>
          <w:p w:rsidR="002F1276" w:rsidRDefault="002F1276" w:rsidP="00512C62">
            <w:pPr>
              <w:spacing w:before="0" w:after="0"/>
              <w:rPr>
                <w:b/>
              </w:rPr>
            </w:pPr>
          </w:p>
          <w:p w:rsidR="002F1276" w:rsidRDefault="002F1276" w:rsidP="00A7365C">
            <w:pPr>
              <w:spacing w:before="0" w:after="0"/>
            </w:pPr>
            <w:r>
              <w:t xml:space="preserve">Kelvin Blake, NED and P&amp;CE Committee Chair, presented the </w:t>
            </w:r>
            <w:r w:rsidRPr="003616D9">
              <w:t>Patient &amp; Carer Experience Committee Upward Report</w:t>
            </w:r>
            <w:r>
              <w:t xml:space="preserve"> and raised the issue of duplication between P&amp;CE Committee and the Patient Experience Group which was its subsidiary committee. The paper included a number of appendices to allow Trust Board sight of important elements of patient engagement: </w:t>
            </w:r>
          </w:p>
          <w:p w:rsidR="002F1276" w:rsidRDefault="002F1276" w:rsidP="00A7365C">
            <w:pPr>
              <w:spacing w:before="0" w:after="0"/>
              <w:rPr>
                <w:u w:val="single"/>
              </w:rPr>
            </w:pPr>
          </w:p>
          <w:p w:rsidR="002F1276" w:rsidRPr="001860CB" w:rsidRDefault="002F1276" w:rsidP="00A7365C">
            <w:pPr>
              <w:spacing w:before="0" w:after="0"/>
            </w:pPr>
            <w:r w:rsidRPr="00A7365C">
              <w:rPr>
                <w:u w:val="single"/>
              </w:rPr>
              <w:t>Complaints Annual Report</w:t>
            </w:r>
            <w:r>
              <w:rPr>
                <w:u w:val="single"/>
              </w:rPr>
              <w:t xml:space="preserve"> - </w:t>
            </w:r>
            <w:r>
              <w:t>Identified that complaints had reduced which indicated that the PALS system was working.</w:t>
            </w:r>
          </w:p>
          <w:p w:rsidR="002F1276" w:rsidRPr="00A7365C" w:rsidRDefault="002F1276" w:rsidP="00A7365C">
            <w:pPr>
              <w:spacing w:before="0" w:after="0"/>
            </w:pPr>
          </w:p>
          <w:p w:rsidR="002F1276" w:rsidRDefault="002F1276" w:rsidP="00A7365C">
            <w:pPr>
              <w:spacing w:before="0" w:after="0"/>
              <w:rPr>
                <w:u w:val="single"/>
              </w:rPr>
            </w:pPr>
            <w:r w:rsidRPr="00A7365C">
              <w:rPr>
                <w:u w:val="single"/>
              </w:rPr>
              <w:t xml:space="preserve">CQC Inpatient Survey Results </w:t>
            </w:r>
          </w:p>
          <w:p w:rsidR="002F1276" w:rsidRDefault="002F1276" w:rsidP="00A7365C">
            <w:pPr>
              <w:spacing w:before="0" w:after="0"/>
            </w:pPr>
            <w:r>
              <w:t xml:space="preserve">Helen Blanchard </w:t>
            </w:r>
            <w:r w:rsidRPr="001860CB">
              <w:t xml:space="preserve">presented the CQC Insight </w:t>
            </w:r>
            <w:r>
              <w:t xml:space="preserve">Survey Results. </w:t>
            </w:r>
            <w:r w:rsidRPr="001860CB">
              <w:t xml:space="preserve">Improvements in twelve performance indicators </w:t>
            </w:r>
            <w:r>
              <w:t xml:space="preserve">and the composite score </w:t>
            </w:r>
            <w:r w:rsidRPr="001860CB">
              <w:t xml:space="preserve">were evidenced which reflected </w:t>
            </w:r>
            <w:proofErr w:type="gramStart"/>
            <w:r w:rsidRPr="001860CB">
              <w:t>NBT</w:t>
            </w:r>
            <w:r>
              <w:t>’s ‘Good’ CQC</w:t>
            </w:r>
            <w:proofErr w:type="gramEnd"/>
            <w:r w:rsidRPr="001860CB">
              <w:t xml:space="preserve"> rating and meant </w:t>
            </w:r>
            <w:r>
              <w:t xml:space="preserve">that </w:t>
            </w:r>
            <w:r w:rsidRPr="001860CB">
              <w:t xml:space="preserve">NBT was in line with other Trusts. </w:t>
            </w:r>
          </w:p>
          <w:p w:rsidR="002F1276" w:rsidRPr="00A7365C" w:rsidRDefault="002F1276" w:rsidP="00A7365C">
            <w:pPr>
              <w:spacing w:before="0" w:after="0"/>
              <w:rPr>
                <w:u w:val="single"/>
              </w:rPr>
            </w:pPr>
          </w:p>
          <w:p w:rsidR="002F1276" w:rsidRDefault="002F1276" w:rsidP="00A7365C">
            <w:pPr>
              <w:spacing w:before="0" w:after="0"/>
              <w:rPr>
                <w:u w:val="single"/>
              </w:rPr>
            </w:pPr>
            <w:r w:rsidRPr="00A7365C">
              <w:rPr>
                <w:u w:val="single"/>
              </w:rPr>
              <w:t>Results of the National Maternity Survey 2019</w:t>
            </w:r>
          </w:p>
          <w:p w:rsidR="002F1276" w:rsidRDefault="002F1276" w:rsidP="00E47ADC">
            <w:pPr>
              <w:spacing w:before="0" w:after="0"/>
            </w:pPr>
            <w:r>
              <w:t xml:space="preserve">Helen Blanchard commended the 100% score in patients feeling treated with respect and dignity (100% was rarely seen) and highlighted the importance of this for patient experience. It was hypothesised that the deterioration of the score regarding women being provided with a phone number was likely due to changes within community teams. However, the report provided useful areas of focus for the Trust. </w:t>
            </w:r>
          </w:p>
          <w:p w:rsidR="002F1276" w:rsidRDefault="002F1276" w:rsidP="00E47ADC">
            <w:pPr>
              <w:spacing w:before="0" w:after="0"/>
            </w:pPr>
          </w:p>
          <w:p w:rsidR="002F1276" w:rsidRDefault="002F1276" w:rsidP="00E47ADC">
            <w:pPr>
              <w:spacing w:before="0" w:after="0"/>
            </w:pPr>
            <w:r>
              <w:t xml:space="preserve">Michele Romaine, NBT Chair, queried why scores were low for knowing where to have check-ups. Helen Blanchard responded that the score was low nationally and hoped that implementation of the ‘Continuity of Carer’ programme to allow women to know and develop trust with those looking after them would increase this score. </w:t>
            </w:r>
          </w:p>
          <w:p w:rsidR="002F1276" w:rsidRPr="00A7365C" w:rsidRDefault="002F1276" w:rsidP="008C26E6">
            <w:pPr>
              <w:spacing w:before="0" w:after="0"/>
            </w:pPr>
          </w:p>
          <w:p w:rsidR="002F1276" w:rsidRDefault="002F1276" w:rsidP="008C26E6">
            <w:pPr>
              <w:spacing w:before="0" w:after="0"/>
              <w:rPr>
                <w:u w:val="single"/>
              </w:rPr>
            </w:pPr>
            <w:r w:rsidRPr="00A7365C">
              <w:rPr>
                <w:u w:val="single"/>
              </w:rPr>
              <w:t>New model for bringing patient stories to Board (action from July)</w:t>
            </w:r>
          </w:p>
          <w:p w:rsidR="002F1276" w:rsidRDefault="002F1276" w:rsidP="00AC1E05">
            <w:pPr>
              <w:spacing w:before="0" w:after="0"/>
            </w:pPr>
            <w:r>
              <w:t xml:space="preserve">Following discussion, it was agreed that the Board should receive staff and patient stories from November 2020 through a range of methods and linked to strategic themes where possible. </w:t>
            </w:r>
          </w:p>
          <w:p w:rsidR="002F1276" w:rsidRPr="00A7365C" w:rsidRDefault="002F1276" w:rsidP="00A7365C">
            <w:pPr>
              <w:spacing w:before="0" w:after="0"/>
            </w:pPr>
          </w:p>
          <w:p w:rsidR="002F1276" w:rsidRPr="00AC1E05" w:rsidRDefault="002F1276" w:rsidP="00A7365C">
            <w:pPr>
              <w:spacing w:before="0" w:after="0"/>
              <w:rPr>
                <w:b/>
              </w:rPr>
            </w:pPr>
            <w:r>
              <w:rPr>
                <w:b/>
              </w:rPr>
              <w:t>RESOLVED that</w:t>
            </w:r>
            <w:r w:rsidRPr="00AC1E05">
              <w:rPr>
                <w:b/>
              </w:rPr>
              <w:t>:</w:t>
            </w:r>
          </w:p>
          <w:p w:rsidR="002F1276" w:rsidRDefault="002F1276" w:rsidP="00AC1E05">
            <w:pPr>
              <w:pStyle w:val="ListParagraph"/>
              <w:numPr>
                <w:ilvl w:val="0"/>
                <w:numId w:val="44"/>
              </w:numPr>
              <w:spacing w:before="0" w:after="0"/>
              <w:rPr>
                <w:rFonts w:ascii="Arial" w:hAnsi="Arial" w:cs="Arial"/>
                <w:b/>
              </w:rPr>
            </w:pPr>
            <w:r>
              <w:rPr>
                <w:rFonts w:ascii="Arial" w:hAnsi="Arial" w:cs="Arial"/>
                <w:b/>
              </w:rPr>
              <w:t>L</w:t>
            </w:r>
            <w:r w:rsidRPr="00AC1E05">
              <w:rPr>
                <w:rFonts w:ascii="Arial" w:hAnsi="Arial" w:cs="Arial"/>
                <w:b/>
              </w:rPr>
              <w:t>ead executives would discuss wh</w:t>
            </w:r>
            <w:r>
              <w:rPr>
                <w:rFonts w:ascii="Arial" w:hAnsi="Arial" w:cs="Arial"/>
                <w:b/>
              </w:rPr>
              <w:t>at was reported to P&amp;CE;</w:t>
            </w:r>
          </w:p>
          <w:p w:rsidR="002F1276" w:rsidRPr="001A5AA4" w:rsidRDefault="002F1276" w:rsidP="00AC1E05">
            <w:pPr>
              <w:pStyle w:val="ListParagraph"/>
              <w:numPr>
                <w:ilvl w:val="0"/>
                <w:numId w:val="44"/>
              </w:numPr>
              <w:spacing w:before="0" w:after="0"/>
              <w:rPr>
                <w:rFonts w:ascii="Arial" w:hAnsi="Arial" w:cs="Arial"/>
                <w:b/>
              </w:rPr>
            </w:pPr>
            <w:r>
              <w:rPr>
                <w:rFonts w:ascii="Arial" w:hAnsi="Arial" w:cs="Arial"/>
                <w:b/>
              </w:rPr>
              <w:t xml:space="preserve">An annual plan of patient and staff stories to Board be </w:t>
            </w:r>
            <w:r w:rsidRPr="001A5AA4">
              <w:rPr>
                <w:rFonts w:ascii="Arial" w:hAnsi="Arial" w:cs="Arial"/>
                <w:b/>
              </w:rPr>
              <w:t>created and begun at November 2020 Public Trust Board;</w:t>
            </w:r>
          </w:p>
          <w:p w:rsidR="002F1276" w:rsidRPr="00B341FD" w:rsidRDefault="002F1276" w:rsidP="00A7365C">
            <w:pPr>
              <w:pStyle w:val="ListParagraph"/>
              <w:numPr>
                <w:ilvl w:val="0"/>
                <w:numId w:val="44"/>
              </w:numPr>
              <w:spacing w:before="0" w:after="0"/>
              <w:rPr>
                <w:b/>
                <w:sz w:val="10"/>
                <w:szCs w:val="10"/>
              </w:rPr>
            </w:pPr>
            <w:r w:rsidRPr="00B341FD">
              <w:rPr>
                <w:rFonts w:ascii="Arial" w:hAnsi="Arial" w:cs="Arial"/>
                <w:b/>
              </w:rPr>
              <w:t xml:space="preserve">The first quarter of patient/ staff stories should be from Maternity, Outpatients and Emergency Department as these were the focus areas for CQC monitoring visits.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1276" w:rsidRPr="00B341FD" w:rsidRDefault="002F1276" w:rsidP="00980139">
            <w:pPr>
              <w:tabs>
                <w:tab w:val="left" w:pos="1985"/>
              </w:tabs>
              <w:snapToGrid w:val="0"/>
              <w:ind w:right="-108"/>
              <w:contextualSpacing/>
              <w:jc w:val="both"/>
              <w:rPr>
                <w:b/>
                <w:sz w:val="840"/>
                <w:szCs w:val="840"/>
              </w:rPr>
            </w:pPr>
          </w:p>
          <w:p w:rsidR="002F1276" w:rsidRDefault="002F1276" w:rsidP="00980139">
            <w:pPr>
              <w:tabs>
                <w:tab w:val="left" w:pos="1985"/>
              </w:tabs>
              <w:snapToGrid w:val="0"/>
              <w:ind w:right="-108"/>
              <w:contextualSpacing/>
              <w:jc w:val="both"/>
              <w:rPr>
                <w:b/>
              </w:rPr>
            </w:pPr>
          </w:p>
          <w:p w:rsidR="002F1276" w:rsidRDefault="002F1276" w:rsidP="00980139">
            <w:pPr>
              <w:tabs>
                <w:tab w:val="left" w:pos="1985"/>
              </w:tabs>
              <w:snapToGrid w:val="0"/>
              <w:ind w:right="-108"/>
              <w:contextualSpacing/>
              <w:jc w:val="both"/>
              <w:rPr>
                <w:b/>
              </w:rPr>
            </w:pPr>
            <w:r>
              <w:rPr>
                <w:b/>
              </w:rPr>
              <w:t>HB/KD</w:t>
            </w:r>
          </w:p>
          <w:p w:rsidR="002F1276" w:rsidRDefault="002F1276" w:rsidP="00980139">
            <w:pPr>
              <w:tabs>
                <w:tab w:val="left" w:pos="1985"/>
              </w:tabs>
              <w:snapToGrid w:val="0"/>
              <w:ind w:right="-108"/>
              <w:contextualSpacing/>
              <w:jc w:val="both"/>
              <w:rPr>
                <w:b/>
              </w:rPr>
            </w:pPr>
          </w:p>
          <w:p w:rsidR="002F1276" w:rsidRDefault="002F1276" w:rsidP="00980139">
            <w:pPr>
              <w:tabs>
                <w:tab w:val="left" w:pos="1985"/>
              </w:tabs>
              <w:snapToGrid w:val="0"/>
              <w:ind w:right="-108"/>
              <w:contextualSpacing/>
              <w:jc w:val="both"/>
              <w:rPr>
                <w:b/>
              </w:rPr>
            </w:pPr>
            <w:r>
              <w:rPr>
                <w:b/>
              </w:rPr>
              <w:t>HB</w:t>
            </w:r>
          </w:p>
        </w:tc>
      </w:tr>
      <w:tr w:rsidR="002F1276" w:rsidTr="00B341FD">
        <w:tblPrEx>
          <w:tblBorders>
            <w:insideH w:val="none" w:sz="0" w:space="0" w:color="auto"/>
            <w:insideV w:val="none" w:sz="0" w:space="0" w:color="auto"/>
          </w:tblBorders>
        </w:tblPrEx>
        <w:trPr>
          <w:gridBefore w:val="1"/>
          <w:gridAfter w:val="1"/>
          <w:wBefore w:w="425" w:type="dxa"/>
          <w:wAfter w:w="284" w:type="dxa"/>
          <w:trHeight w:val="64"/>
        </w:trPr>
        <w:tc>
          <w:tcPr>
            <w:tcW w:w="1702" w:type="dxa"/>
            <w:tcBorders>
              <w:top w:val="single" w:sz="4" w:space="0" w:color="auto"/>
              <w:left w:val="single" w:sz="4" w:space="0" w:color="auto"/>
              <w:bottom w:val="single" w:sz="4" w:space="0" w:color="auto"/>
              <w:right w:val="single" w:sz="4" w:space="0" w:color="auto"/>
            </w:tcBorders>
            <w:shd w:val="clear" w:color="auto" w:fill="auto"/>
          </w:tcPr>
          <w:p w:rsidR="002F1276" w:rsidRDefault="002F1276" w:rsidP="00F937D0">
            <w:pPr>
              <w:tabs>
                <w:tab w:val="left" w:pos="1985"/>
              </w:tabs>
              <w:snapToGrid w:val="0"/>
              <w:contextualSpacing/>
              <w:jc w:val="both"/>
              <w:rPr>
                <w:b/>
              </w:rPr>
            </w:pPr>
            <w:r>
              <w:rPr>
                <w:b/>
              </w:rPr>
              <w:t>TB/20/09/11</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Pr>
          <w:p w:rsidR="002F1276" w:rsidRDefault="002F1276" w:rsidP="00512C62">
            <w:pPr>
              <w:spacing w:before="0" w:after="0"/>
              <w:rPr>
                <w:b/>
              </w:rPr>
            </w:pPr>
            <w:r>
              <w:rPr>
                <w:b/>
              </w:rPr>
              <w:t>Quality &amp; Risk Management Committee Upward Report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1276" w:rsidRDefault="002F1276" w:rsidP="00980139">
            <w:pPr>
              <w:tabs>
                <w:tab w:val="left" w:pos="1985"/>
              </w:tabs>
              <w:snapToGrid w:val="0"/>
              <w:ind w:right="-108"/>
              <w:contextualSpacing/>
              <w:jc w:val="both"/>
              <w:rPr>
                <w:b/>
              </w:rPr>
            </w:pPr>
          </w:p>
        </w:tc>
      </w:tr>
      <w:tr w:rsidR="002F1276" w:rsidTr="00B341FD">
        <w:tblPrEx>
          <w:tblBorders>
            <w:insideH w:val="none" w:sz="0" w:space="0" w:color="auto"/>
            <w:insideV w:val="none" w:sz="0" w:space="0" w:color="auto"/>
          </w:tblBorders>
        </w:tblPrEx>
        <w:trPr>
          <w:gridBefore w:val="1"/>
          <w:gridAfter w:val="1"/>
          <w:wBefore w:w="425" w:type="dxa"/>
          <w:wAfter w:w="284" w:type="dxa"/>
          <w:trHeight w:val="64"/>
        </w:trPr>
        <w:tc>
          <w:tcPr>
            <w:tcW w:w="1702" w:type="dxa"/>
            <w:tcBorders>
              <w:top w:val="single" w:sz="4" w:space="0" w:color="auto"/>
              <w:left w:val="single" w:sz="4" w:space="0" w:color="auto"/>
              <w:bottom w:val="single" w:sz="4" w:space="0" w:color="auto"/>
              <w:right w:val="single" w:sz="4" w:space="0" w:color="auto"/>
            </w:tcBorders>
            <w:shd w:val="clear" w:color="auto" w:fill="auto"/>
          </w:tcPr>
          <w:p w:rsidR="002F1276" w:rsidRDefault="002F1276" w:rsidP="00F937D0">
            <w:pPr>
              <w:tabs>
                <w:tab w:val="left" w:pos="1985"/>
              </w:tabs>
              <w:snapToGrid w:val="0"/>
              <w:contextualSpacing/>
              <w:jc w:val="both"/>
              <w:rPr>
                <w:b/>
              </w:rPr>
            </w:pP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Pr>
          <w:p w:rsidR="002F1276" w:rsidRDefault="002F1276" w:rsidP="00B945E9">
            <w:pPr>
              <w:spacing w:before="0" w:after="0"/>
            </w:pPr>
          </w:p>
          <w:p w:rsidR="002F1276" w:rsidRDefault="002F1276" w:rsidP="00B945E9">
            <w:pPr>
              <w:spacing w:before="0" w:after="0"/>
            </w:pPr>
            <w:r>
              <w:t xml:space="preserve">John </w:t>
            </w:r>
            <w:proofErr w:type="spellStart"/>
            <w:r>
              <w:t>Iredale</w:t>
            </w:r>
            <w:proofErr w:type="spellEnd"/>
            <w:r>
              <w:t>, Non-Executive Director, presented the Quality &amp; Risk Management Committee Report for assurance.</w:t>
            </w:r>
          </w:p>
          <w:p w:rsidR="002F1276" w:rsidRDefault="002F1276" w:rsidP="00B945E9">
            <w:pPr>
              <w:spacing w:before="0" w:after="0"/>
            </w:pPr>
          </w:p>
          <w:p w:rsidR="002F1276" w:rsidRPr="008F134C" w:rsidRDefault="002F1276" w:rsidP="00B945E9">
            <w:pPr>
              <w:spacing w:before="0" w:after="0"/>
              <w:rPr>
                <w:b/>
              </w:rPr>
            </w:pPr>
            <w:r>
              <w:rPr>
                <w:b/>
              </w:rPr>
              <w:t>RESOLVED that the Quality &amp; Risk Management Committee be noted.</w:t>
            </w:r>
          </w:p>
          <w:p w:rsidR="002F1276" w:rsidRPr="00D449FC" w:rsidRDefault="002F1276" w:rsidP="00B945E9">
            <w:pPr>
              <w:spacing w:before="0" w:after="0"/>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1276" w:rsidRDefault="002F1276" w:rsidP="00980139">
            <w:pPr>
              <w:tabs>
                <w:tab w:val="left" w:pos="1985"/>
              </w:tabs>
              <w:snapToGrid w:val="0"/>
              <w:ind w:right="-108"/>
              <w:contextualSpacing/>
              <w:jc w:val="both"/>
              <w:rPr>
                <w:b/>
              </w:rPr>
            </w:pPr>
          </w:p>
        </w:tc>
      </w:tr>
      <w:tr w:rsidR="002F1276" w:rsidTr="00B341FD">
        <w:tblPrEx>
          <w:tblBorders>
            <w:insideH w:val="none" w:sz="0" w:space="0" w:color="auto"/>
            <w:insideV w:val="none" w:sz="0" w:space="0" w:color="auto"/>
          </w:tblBorders>
        </w:tblPrEx>
        <w:trPr>
          <w:gridBefore w:val="1"/>
          <w:gridAfter w:val="1"/>
          <w:wBefore w:w="425" w:type="dxa"/>
          <w:wAfter w:w="284" w:type="dxa"/>
          <w:trHeight w:val="64"/>
        </w:trPr>
        <w:tc>
          <w:tcPr>
            <w:tcW w:w="1702" w:type="dxa"/>
            <w:tcBorders>
              <w:top w:val="single" w:sz="4" w:space="0" w:color="auto"/>
              <w:left w:val="single" w:sz="4" w:space="0" w:color="auto"/>
              <w:bottom w:val="single" w:sz="4" w:space="0" w:color="auto"/>
              <w:right w:val="single" w:sz="4" w:space="0" w:color="auto"/>
            </w:tcBorders>
            <w:shd w:val="clear" w:color="auto" w:fill="auto"/>
          </w:tcPr>
          <w:p w:rsidR="002F1276" w:rsidRDefault="002F1276" w:rsidP="00F937D0">
            <w:pPr>
              <w:tabs>
                <w:tab w:val="left" w:pos="1985"/>
              </w:tabs>
              <w:snapToGrid w:val="0"/>
              <w:contextualSpacing/>
              <w:jc w:val="both"/>
              <w:rPr>
                <w:b/>
              </w:rPr>
            </w:pPr>
            <w:r>
              <w:rPr>
                <w:b/>
              </w:rPr>
              <w:t>TB/20/09/12</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Pr>
          <w:p w:rsidR="002F1276" w:rsidRDefault="002F1276" w:rsidP="00B945E9">
            <w:pPr>
              <w:spacing w:before="0" w:after="0"/>
              <w:rPr>
                <w:b/>
              </w:rPr>
            </w:pPr>
            <w:r w:rsidRPr="00A7365C">
              <w:rPr>
                <w:b/>
              </w:rPr>
              <w:t>Audit Committee Upward Report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1276" w:rsidRDefault="002F1276" w:rsidP="00980139">
            <w:pPr>
              <w:tabs>
                <w:tab w:val="left" w:pos="1985"/>
              </w:tabs>
              <w:snapToGrid w:val="0"/>
              <w:ind w:right="-108"/>
              <w:contextualSpacing/>
              <w:jc w:val="both"/>
              <w:rPr>
                <w:b/>
              </w:rPr>
            </w:pPr>
          </w:p>
        </w:tc>
      </w:tr>
      <w:tr w:rsidR="002F1276" w:rsidTr="00B341FD">
        <w:tblPrEx>
          <w:tblBorders>
            <w:insideH w:val="none" w:sz="0" w:space="0" w:color="auto"/>
            <w:insideV w:val="none" w:sz="0" w:space="0" w:color="auto"/>
          </w:tblBorders>
        </w:tblPrEx>
        <w:trPr>
          <w:gridBefore w:val="1"/>
          <w:gridAfter w:val="1"/>
          <w:wBefore w:w="425" w:type="dxa"/>
          <w:wAfter w:w="284" w:type="dxa"/>
          <w:trHeight w:val="64"/>
        </w:trPr>
        <w:tc>
          <w:tcPr>
            <w:tcW w:w="1702" w:type="dxa"/>
            <w:tcBorders>
              <w:top w:val="single" w:sz="4" w:space="0" w:color="auto"/>
              <w:left w:val="single" w:sz="4" w:space="0" w:color="auto"/>
              <w:bottom w:val="single" w:sz="4" w:space="0" w:color="auto"/>
              <w:right w:val="single" w:sz="4" w:space="0" w:color="auto"/>
            </w:tcBorders>
            <w:shd w:val="clear" w:color="auto" w:fill="auto"/>
          </w:tcPr>
          <w:p w:rsidR="002F1276" w:rsidRDefault="002F1276" w:rsidP="00F937D0">
            <w:pPr>
              <w:tabs>
                <w:tab w:val="left" w:pos="1985"/>
              </w:tabs>
              <w:snapToGrid w:val="0"/>
              <w:contextualSpacing/>
              <w:jc w:val="both"/>
              <w:rPr>
                <w:b/>
              </w:rPr>
            </w:pP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Pr>
          <w:p w:rsidR="002F1276" w:rsidRPr="00195201" w:rsidRDefault="002F1276" w:rsidP="00B945E9">
            <w:pPr>
              <w:spacing w:before="0" w:after="0"/>
            </w:pPr>
          </w:p>
          <w:p w:rsidR="002F1276" w:rsidRPr="00195201" w:rsidRDefault="002F1276" w:rsidP="00B945E9">
            <w:pPr>
              <w:spacing w:before="0" w:after="0"/>
            </w:pPr>
            <w:r w:rsidRPr="00195201">
              <w:t xml:space="preserve">Jaki </w:t>
            </w:r>
            <w:proofErr w:type="spellStart"/>
            <w:r w:rsidRPr="00195201">
              <w:t>Meekings</w:t>
            </w:r>
            <w:proofErr w:type="spellEnd"/>
            <w:r w:rsidRPr="00195201">
              <w:t xml:space="preserve">-Davis, NED and Chair of Audit Committee, presented the Audit Committee Upward Report for assurance. It was brought to the Board’s attention that an external visits matrix had been created for effective tracking of regulatory visits and outcomes. </w:t>
            </w:r>
          </w:p>
          <w:p w:rsidR="002F1276" w:rsidRPr="00195201" w:rsidRDefault="002F1276" w:rsidP="00B945E9">
            <w:pPr>
              <w:spacing w:before="0" w:after="0"/>
            </w:pPr>
          </w:p>
          <w:p w:rsidR="002F1276" w:rsidRPr="00195201" w:rsidRDefault="002F1276" w:rsidP="008F134C">
            <w:pPr>
              <w:spacing w:before="0" w:after="0"/>
              <w:rPr>
                <w:b/>
              </w:rPr>
            </w:pPr>
            <w:r w:rsidRPr="00195201">
              <w:rPr>
                <w:b/>
              </w:rPr>
              <w:t xml:space="preserve">RESOLVED that the Audit Committee Upward Report be noted and Jaki was thanked for her service to the Audit Committee. </w:t>
            </w:r>
          </w:p>
          <w:p w:rsidR="002F1276" w:rsidRPr="00195201" w:rsidRDefault="002F1276" w:rsidP="008F134C">
            <w:pPr>
              <w:spacing w:before="0" w:after="0"/>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1276" w:rsidRDefault="002F1276" w:rsidP="00980139">
            <w:pPr>
              <w:tabs>
                <w:tab w:val="left" w:pos="1985"/>
              </w:tabs>
              <w:snapToGrid w:val="0"/>
              <w:ind w:right="-108"/>
              <w:contextualSpacing/>
              <w:jc w:val="both"/>
              <w:rPr>
                <w:b/>
              </w:rPr>
            </w:pPr>
          </w:p>
        </w:tc>
      </w:tr>
      <w:tr w:rsidR="002F1276" w:rsidTr="00B341FD">
        <w:tblPrEx>
          <w:tblBorders>
            <w:insideH w:val="none" w:sz="0" w:space="0" w:color="auto"/>
            <w:insideV w:val="none" w:sz="0" w:space="0" w:color="auto"/>
          </w:tblBorders>
        </w:tblPrEx>
        <w:trPr>
          <w:gridBefore w:val="1"/>
          <w:gridAfter w:val="1"/>
          <w:wBefore w:w="425" w:type="dxa"/>
          <w:wAfter w:w="284" w:type="dxa"/>
          <w:trHeight w:val="64"/>
        </w:trPr>
        <w:tc>
          <w:tcPr>
            <w:tcW w:w="1702" w:type="dxa"/>
            <w:tcBorders>
              <w:top w:val="single" w:sz="4" w:space="0" w:color="auto"/>
              <w:left w:val="single" w:sz="4" w:space="0" w:color="auto"/>
              <w:bottom w:val="single" w:sz="4" w:space="0" w:color="auto"/>
              <w:right w:val="single" w:sz="4" w:space="0" w:color="auto"/>
            </w:tcBorders>
            <w:shd w:val="clear" w:color="auto" w:fill="auto"/>
          </w:tcPr>
          <w:p w:rsidR="002F1276" w:rsidRDefault="002F1276" w:rsidP="00D449FC">
            <w:pPr>
              <w:tabs>
                <w:tab w:val="left" w:pos="1985"/>
              </w:tabs>
              <w:snapToGrid w:val="0"/>
              <w:contextualSpacing/>
              <w:jc w:val="both"/>
              <w:rPr>
                <w:b/>
              </w:rPr>
            </w:pPr>
            <w:r>
              <w:rPr>
                <w:b/>
              </w:rPr>
              <w:t>TB/20/09/13</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Pr>
          <w:p w:rsidR="002F1276" w:rsidRPr="00195201" w:rsidRDefault="002F1276" w:rsidP="00B945E9">
            <w:pPr>
              <w:spacing w:before="0" w:after="0"/>
            </w:pPr>
            <w:r w:rsidRPr="00195201">
              <w:rPr>
                <w:b/>
              </w:rPr>
              <w:t>Any Other Business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1276" w:rsidRDefault="002F1276" w:rsidP="00980139">
            <w:pPr>
              <w:tabs>
                <w:tab w:val="left" w:pos="1985"/>
              </w:tabs>
              <w:snapToGrid w:val="0"/>
              <w:ind w:right="-108"/>
              <w:contextualSpacing/>
              <w:jc w:val="both"/>
              <w:rPr>
                <w:b/>
              </w:rPr>
            </w:pPr>
          </w:p>
        </w:tc>
      </w:tr>
      <w:tr w:rsidR="002F1276" w:rsidTr="00B341FD">
        <w:tblPrEx>
          <w:tblBorders>
            <w:insideH w:val="none" w:sz="0" w:space="0" w:color="auto"/>
            <w:insideV w:val="none" w:sz="0" w:space="0" w:color="auto"/>
          </w:tblBorders>
        </w:tblPrEx>
        <w:trPr>
          <w:gridBefore w:val="1"/>
          <w:gridAfter w:val="1"/>
          <w:wBefore w:w="425" w:type="dxa"/>
          <w:wAfter w:w="284" w:type="dxa"/>
        </w:trPr>
        <w:tc>
          <w:tcPr>
            <w:tcW w:w="1702" w:type="dxa"/>
            <w:tcBorders>
              <w:top w:val="single" w:sz="4" w:space="0" w:color="auto"/>
              <w:left w:val="single" w:sz="4" w:space="0" w:color="auto"/>
              <w:bottom w:val="single" w:sz="4" w:space="0" w:color="auto"/>
              <w:right w:val="single" w:sz="4" w:space="0" w:color="auto"/>
            </w:tcBorders>
            <w:shd w:val="clear" w:color="auto" w:fill="auto"/>
          </w:tcPr>
          <w:p w:rsidR="002F1276" w:rsidRDefault="002F1276" w:rsidP="003363F1">
            <w:pPr>
              <w:tabs>
                <w:tab w:val="left" w:pos="1985"/>
              </w:tabs>
              <w:snapToGrid w:val="0"/>
              <w:contextualSpacing/>
              <w:jc w:val="both"/>
              <w:rPr>
                <w:b/>
              </w:rPr>
            </w:pP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Pr>
          <w:p w:rsidR="002F1276" w:rsidRPr="00195201" w:rsidRDefault="002F1276" w:rsidP="006F6760">
            <w:pPr>
              <w:tabs>
                <w:tab w:val="left" w:pos="721"/>
              </w:tabs>
            </w:pPr>
            <w:r w:rsidRPr="00195201">
              <w:t xml:space="preserve">Michele Romaine, Chair, noted that the meeting was Jaki </w:t>
            </w:r>
            <w:proofErr w:type="spellStart"/>
            <w:r w:rsidRPr="00195201">
              <w:t>Meekings</w:t>
            </w:r>
            <w:proofErr w:type="spellEnd"/>
            <w:r w:rsidRPr="00195201">
              <w:t>-Davis’ last Board meeting as a NED. On behalf of the Board, Jaki was thanked for her extensive contribution as a valuable NED and Audit Committee Chair. Jaki responded that working at NBT was a fantastic experience and opportunity and she wished the organisation every success, and the strong leadership team all the best.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1276" w:rsidRDefault="002F1276" w:rsidP="00BF396B">
            <w:pPr>
              <w:tabs>
                <w:tab w:val="left" w:pos="1985"/>
              </w:tabs>
              <w:snapToGrid w:val="0"/>
              <w:ind w:right="-108"/>
              <w:contextualSpacing/>
              <w:jc w:val="both"/>
              <w:rPr>
                <w:b/>
              </w:rPr>
            </w:pPr>
          </w:p>
        </w:tc>
      </w:tr>
      <w:tr w:rsidR="002F1276" w:rsidTr="00B341FD">
        <w:tblPrEx>
          <w:tblBorders>
            <w:insideH w:val="none" w:sz="0" w:space="0" w:color="auto"/>
            <w:insideV w:val="none" w:sz="0" w:space="0" w:color="auto"/>
          </w:tblBorders>
        </w:tblPrEx>
        <w:trPr>
          <w:gridBefore w:val="1"/>
          <w:gridAfter w:val="1"/>
          <w:wBefore w:w="425" w:type="dxa"/>
          <w:wAfter w:w="284" w:type="dxa"/>
        </w:trPr>
        <w:tc>
          <w:tcPr>
            <w:tcW w:w="1702" w:type="dxa"/>
            <w:tcBorders>
              <w:top w:val="single" w:sz="4" w:space="0" w:color="auto"/>
              <w:left w:val="single" w:sz="4" w:space="0" w:color="auto"/>
              <w:bottom w:val="single" w:sz="4" w:space="0" w:color="auto"/>
              <w:right w:val="single" w:sz="4" w:space="0" w:color="auto"/>
            </w:tcBorders>
            <w:shd w:val="clear" w:color="auto" w:fill="auto"/>
          </w:tcPr>
          <w:p w:rsidR="002F1276" w:rsidRPr="0029016C" w:rsidRDefault="002F1276" w:rsidP="00D449FC">
            <w:pPr>
              <w:tabs>
                <w:tab w:val="left" w:pos="1985"/>
              </w:tabs>
              <w:contextualSpacing/>
              <w:jc w:val="both"/>
            </w:pPr>
            <w:r>
              <w:rPr>
                <w:b/>
              </w:rPr>
              <w:t>TB/20/09/14</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Pr>
          <w:p w:rsidR="002F1276" w:rsidRPr="00A5152C" w:rsidRDefault="002F1276" w:rsidP="00E47ADC">
            <w:pPr>
              <w:spacing w:before="0"/>
              <w:rPr>
                <w:b/>
              </w:rPr>
            </w:pPr>
            <w:r>
              <w:rPr>
                <w:b/>
              </w:rPr>
              <w:t xml:space="preserve">Questions from the public – None received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1276" w:rsidRDefault="002F1276" w:rsidP="00980139">
            <w:pPr>
              <w:tabs>
                <w:tab w:val="left" w:pos="1985"/>
              </w:tabs>
              <w:snapToGrid w:val="0"/>
              <w:ind w:right="-108"/>
              <w:contextualSpacing/>
              <w:jc w:val="both"/>
              <w:rPr>
                <w:b/>
              </w:rPr>
            </w:pPr>
          </w:p>
        </w:tc>
      </w:tr>
      <w:tr w:rsidR="002F1276" w:rsidTr="00B341FD">
        <w:tblPrEx>
          <w:tblBorders>
            <w:insideH w:val="none" w:sz="0" w:space="0" w:color="auto"/>
            <w:insideV w:val="none" w:sz="0" w:space="0" w:color="auto"/>
          </w:tblBorders>
        </w:tblPrEx>
        <w:trPr>
          <w:gridBefore w:val="1"/>
          <w:gridAfter w:val="1"/>
          <w:wBefore w:w="425" w:type="dxa"/>
          <w:wAfter w:w="284" w:type="dxa"/>
          <w:trHeight w:val="419"/>
        </w:trPr>
        <w:tc>
          <w:tcPr>
            <w:tcW w:w="1702" w:type="dxa"/>
            <w:tcBorders>
              <w:top w:val="single" w:sz="4" w:space="0" w:color="auto"/>
              <w:left w:val="single" w:sz="4" w:space="0" w:color="auto"/>
              <w:bottom w:val="single" w:sz="4" w:space="0" w:color="auto"/>
              <w:right w:val="single" w:sz="4" w:space="0" w:color="auto"/>
            </w:tcBorders>
            <w:shd w:val="clear" w:color="auto" w:fill="auto"/>
          </w:tcPr>
          <w:p w:rsidR="002F1276" w:rsidRDefault="002F1276" w:rsidP="00D449FC">
            <w:pPr>
              <w:tabs>
                <w:tab w:val="left" w:pos="1985"/>
              </w:tabs>
              <w:contextualSpacing/>
              <w:jc w:val="both"/>
            </w:pPr>
            <w:r>
              <w:rPr>
                <w:b/>
              </w:rPr>
              <w:t>TB/20/09/15</w:t>
            </w: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Pr>
          <w:p w:rsidR="002F1276" w:rsidRDefault="002F1276" w:rsidP="00CB4C43">
            <w:pPr>
              <w:tabs>
                <w:tab w:val="left" w:pos="1985"/>
              </w:tabs>
              <w:spacing w:before="0" w:after="0"/>
              <w:rPr>
                <w:b/>
              </w:rPr>
            </w:pPr>
            <w:r>
              <w:rPr>
                <w:b/>
              </w:rPr>
              <w:t>Date of Next Meeting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1276" w:rsidRDefault="002F1276" w:rsidP="00980139">
            <w:pPr>
              <w:tabs>
                <w:tab w:val="left" w:pos="1985"/>
              </w:tabs>
              <w:snapToGrid w:val="0"/>
              <w:jc w:val="both"/>
              <w:rPr>
                <w:b/>
              </w:rPr>
            </w:pPr>
          </w:p>
        </w:tc>
      </w:tr>
      <w:tr w:rsidR="002F1276" w:rsidTr="00B341FD">
        <w:tblPrEx>
          <w:tblBorders>
            <w:insideH w:val="none" w:sz="0" w:space="0" w:color="auto"/>
            <w:insideV w:val="none" w:sz="0" w:space="0" w:color="auto"/>
          </w:tblBorders>
        </w:tblPrEx>
        <w:trPr>
          <w:gridBefore w:val="1"/>
          <w:gridAfter w:val="1"/>
          <w:wBefore w:w="425" w:type="dxa"/>
          <w:wAfter w:w="284" w:type="dxa"/>
        </w:trPr>
        <w:tc>
          <w:tcPr>
            <w:tcW w:w="1702" w:type="dxa"/>
            <w:tcBorders>
              <w:top w:val="single" w:sz="4" w:space="0" w:color="auto"/>
              <w:left w:val="single" w:sz="4" w:space="0" w:color="auto"/>
              <w:bottom w:val="single" w:sz="4" w:space="0" w:color="auto"/>
              <w:right w:val="single" w:sz="4" w:space="0" w:color="auto"/>
            </w:tcBorders>
            <w:shd w:val="clear" w:color="auto" w:fill="auto"/>
          </w:tcPr>
          <w:p w:rsidR="002F1276" w:rsidRDefault="002F1276" w:rsidP="00980139">
            <w:pPr>
              <w:tabs>
                <w:tab w:val="left" w:pos="1985"/>
              </w:tabs>
              <w:snapToGrid w:val="0"/>
              <w:ind w:firstLine="744"/>
              <w:jc w:val="both"/>
              <w:rPr>
                <w:b/>
              </w:rPr>
            </w:pPr>
          </w:p>
        </w:tc>
        <w:tc>
          <w:tcPr>
            <w:tcW w:w="7229" w:type="dxa"/>
            <w:gridSpan w:val="4"/>
            <w:tcBorders>
              <w:top w:val="single" w:sz="4" w:space="0" w:color="auto"/>
              <w:left w:val="single" w:sz="4" w:space="0" w:color="auto"/>
              <w:bottom w:val="single" w:sz="4" w:space="0" w:color="auto"/>
              <w:right w:val="single" w:sz="4" w:space="0" w:color="auto"/>
            </w:tcBorders>
            <w:shd w:val="clear" w:color="auto" w:fill="auto"/>
          </w:tcPr>
          <w:p w:rsidR="002F1276" w:rsidRDefault="002F1276" w:rsidP="00312FDD">
            <w:pPr>
              <w:spacing w:before="0" w:after="0"/>
            </w:pPr>
            <w:r>
              <w:t xml:space="preserve">The next public meeting of the Board is scheduled to take place on </w:t>
            </w:r>
            <w:r w:rsidRPr="007D1F03">
              <w:t xml:space="preserve">Thursday </w:t>
            </w:r>
            <w:r>
              <w:t xml:space="preserve">26 November </w:t>
            </w:r>
            <w:r w:rsidRPr="007D1F03">
              <w:t xml:space="preserve">2020, 10.00 a.m. </w:t>
            </w:r>
            <w:r w:rsidRPr="00F95640">
              <w:t>The Board will meet virtually. Trust Board papers will be published on the website, and interested members of the public are invited to submit questions in line with the Trust’s normal processes.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F1276" w:rsidRDefault="002F1276" w:rsidP="00980139">
            <w:pPr>
              <w:tabs>
                <w:tab w:val="left" w:pos="1985"/>
              </w:tabs>
              <w:snapToGrid w:val="0"/>
              <w:jc w:val="both"/>
              <w:rPr>
                <w:b/>
              </w:rPr>
            </w:pPr>
          </w:p>
        </w:tc>
      </w:tr>
    </w:tbl>
    <w:p w:rsidR="00CC1B13" w:rsidRDefault="0028303B" w:rsidP="00CC1B13">
      <w:pPr>
        <w:tabs>
          <w:tab w:val="left" w:pos="1650"/>
          <w:tab w:val="left" w:pos="2090"/>
          <w:tab w:val="right" w:pos="9020"/>
        </w:tabs>
        <w:ind w:right="1173"/>
        <w:jc w:val="center"/>
      </w:pPr>
      <w:r>
        <w:t>The meeting concluded at</w:t>
      </w:r>
      <w:r w:rsidR="007D1F03">
        <w:t xml:space="preserve"> </w:t>
      </w:r>
      <w:r w:rsidR="00E47ADC">
        <w:t xml:space="preserve">12.05 </w:t>
      </w:r>
      <w:r w:rsidR="00A7365C">
        <w:t>pm</w:t>
      </w:r>
    </w:p>
    <w:sectPr w:rsidR="00CC1B13" w:rsidSect="008B3A77">
      <w:headerReference w:type="default" r:id="rId9"/>
      <w:footerReference w:type="default" r:id="rId10"/>
      <w:headerReference w:type="first" r:id="rId11"/>
      <w:pgSz w:w="11906" w:h="16838"/>
      <w:pgMar w:top="1440" w:right="1440" w:bottom="1440" w:left="1440" w:header="709"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D79" w:rsidRDefault="00AA2D79">
      <w:pPr>
        <w:spacing w:before="0" w:after="0"/>
      </w:pPr>
      <w:r>
        <w:separator/>
      </w:r>
    </w:p>
  </w:endnote>
  <w:endnote w:type="continuationSeparator" w:id="0">
    <w:p w:rsidR="00AA2D79" w:rsidRDefault="00AA2D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erif">
    <w:altName w:val="Times New Roman"/>
    <w:charset w:val="01"/>
    <w:family w:val="roman"/>
    <w:pitch w:val="variable"/>
  </w:font>
  <w:font w:name="Noto Sans CJK SC Regular">
    <w:charset w:val="00"/>
    <w:family w:val="roman"/>
    <w:pitch w:val="default"/>
  </w:font>
  <w:font w:name="Lohit Devanagari">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MS Mincho;ＭＳ 明朝">
    <w:charset w:val="8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C98" w:rsidRDefault="006B0369">
    <w:pPr>
      <w:pStyle w:val="Footer"/>
      <w:jc w:val="center"/>
    </w:pPr>
    <w:r>
      <w:rPr>
        <w:noProof/>
      </w:rPr>
      <w:t>9</w:t>
    </w:r>
  </w:p>
  <w:p w:rsidR="00D11C98" w:rsidRDefault="00D11C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D79" w:rsidRDefault="00AA2D79">
      <w:pPr>
        <w:spacing w:before="0" w:after="0"/>
      </w:pPr>
      <w:r>
        <w:separator/>
      </w:r>
    </w:p>
  </w:footnote>
  <w:footnote w:type="continuationSeparator" w:id="0">
    <w:p w:rsidR="00AA2D79" w:rsidRDefault="00AA2D7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C98" w:rsidRDefault="00D11C98">
    <w:pPr>
      <w:pStyle w:val="Header"/>
      <w:pBdr>
        <w:bottom w:val="single" w:sz="4" w:space="1" w:color="000000"/>
      </w:pBdr>
      <w:jc w:val="right"/>
      <w:rPr>
        <w:b/>
      </w:rPr>
    </w:pPr>
    <w:r>
      <w:rPr>
        <w:noProof/>
        <w:lang w:eastAsia="en-GB"/>
      </w:rPr>
      <mc:AlternateContent>
        <mc:Choice Requires="wps">
          <w:drawing>
            <wp:anchor distT="0" distB="0" distL="114300" distR="114300" simplePos="0" relativeHeight="251656704" behindDoc="0" locked="0" layoutInCell="1" allowOverlap="1" wp14:anchorId="170AEE93" wp14:editId="196F35AD">
              <wp:simplePos x="0" y="0"/>
              <wp:positionH relativeFrom="column">
                <wp:posOffset>0</wp:posOffset>
              </wp:positionH>
              <wp:positionV relativeFrom="paragraph">
                <wp:posOffset>0</wp:posOffset>
              </wp:positionV>
              <wp:extent cx="635000" cy="635000"/>
              <wp:effectExtent l="9525" t="9525" r="12700" b="12700"/>
              <wp:wrapNone/>
              <wp:docPr id="1" name="shapetype_1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type_136"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" path="m,l21600,em,21600r21600,e">
              <v:stroke joinstyle="miter"/>
              <v:path o:connecttype="custom" o:connectlocs="0,0;635000,0;0,635000;635000,635000" o:connectangles="0,0,0,0"/>
              <o:lock v:ext="edit" aspectratio="t" selection="t"/>
            </v:shape>
          </w:pict>
        </mc:Fallback>
      </mc:AlternateContent>
    </w:r>
    <w:r>
      <w:rPr>
        <w:noProof/>
        <w:lang w:eastAsia="en-GB"/>
      </w:rPr>
      <mc:AlternateContent>
        <mc:Choice Requires="wps">
          <w:drawing>
            <wp:anchor distT="0" distB="0" distL="114300" distR="114300" simplePos="0" relativeHeight="251657728" behindDoc="0" locked="0" layoutInCell="1" allowOverlap="1" wp14:anchorId="5A6AF122" wp14:editId="53B18389">
              <wp:simplePos x="0" y="0"/>
              <wp:positionH relativeFrom="column">
                <wp:posOffset>0</wp:posOffset>
              </wp:positionH>
              <wp:positionV relativeFrom="paragraph">
                <wp:posOffset>0</wp:posOffset>
              </wp:positionV>
              <wp:extent cx="635000" cy="635000"/>
              <wp:effectExtent l="9525" t="9525" r="12700" b="12700"/>
              <wp:wrapNone/>
              <wp:docPr id="3" name="Freeform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gd name="G0" fmla="+- 10800 0 0"/>
                          <a:gd name="G1" fmla="+- G0 0 10800"/>
                          <a:gd name="G2" fmla="+- G0 0 0"/>
                          <a:gd name="G3" fmla="+- 21600 0 G0"/>
                          <a:gd name="G4" fmla="*/ G2 2 1"/>
                          <a:gd name="G5" fmla="*/ G3 2 1"/>
                          <a:gd name="G6" fmla="?: G1 G5 G4"/>
                          <a:gd name="G7" fmla="+- 0 G6 0"/>
                          <a:gd name="G8" fmla="+- 21600 0 G6"/>
                          <a:gd name="G9" fmla="?: G1 0 G8"/>
                          <a:gd name="G10" fmla="?: G1 G7 21600"/>
                          <a:gd name="G11" fmla="?: G1 G8 0"/>
                          <a:gd name="G12" fmla="?: G1 21600 G7"/>
                          <a:gd name="T0" fmla="*/ 0 w 21600"/>
                          <a:gd name="T1" fmla="*/ 0 h 21600"/>
                          <a:gd name="T2" fmla="*/ 21600 w 21600"/>
                          <a:gd name="T3" fmla="*/ 0 h 21600"/>
                          <a:gd name="T4" fmla="*/ 0 w 21600"/>
                          <a:gd name="T5" fmla="*/ 21600 h 21600"/>
                          <a:gd name="T6" fmla="*/ 2160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path>
                          <a:path w="21600" h="21600">
                            <a:moveTo>
                              <a:pt x="0" y="2160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" path="m,l21600,em,21600r21600,e">
              <v:stroke joinstyle="miter"/>
              <v:path o:connecttype="custom" o:connectlocs="0,0;635000,0;0,635000;635000,635000" o:connectangles="0,0,0,0"/>
              <o:lock v:ext="edit" aspectratio="t" selection="t"/>
            </v:shape>
          </w:pict>
        </mc:Fallback>
      </mc:AlternateContent>
    </w:r>
    <w:r w:rsidR="00AA2D79">
      <w:rPr>
        <w:noProof/>
      </w:rPr>
      <w:pict>
        <v:shape id="shapetype_136" o:spid="_x0000_s2049" style="position:absolute;left:0;text-align:left;margin-left:0;margin-top:0;width:50pt;height:50pt;z-index:251658752;visibility:hidden;mso-position-horizontal-relative:text;mso-position-vertical-relative:text" coordsize="21600,21600" o:spt="100" adj="10800,,0" path="m@9,l@10,em@11,21600l@12,21600e">
          <v:stroke joinstyle="miter"/>
          <v:formulas>
            <v:f eqn="val #0"/>
            <v:f eqn="sum @0 0 10800"/>
            <v:f eqn="val @0"/>
            <v:f eqn="sum width 0 @0"/>
            <v:f eqn="prod @2 2 1"/>
            <v:f eqn="prod @3 2 1"/>
            <v:f eqn="if @1 @5 @4"/>
            <v:f eqn="sum 0 @6 0"/>
            <v:f eqn="sum width 0 @6"/>
            <v:f eqn="if @1 0 @8"/>
            <v:f eqn="if @1 @7 width"/>
            <v:f eqn="if @1 @8 0"/>
            <v:f eqn="if @1 width @7"/>
          </v:formulas>
          <v:path o:connecttype="segments"/>
          <v:handles>
            <v:h position="@0,center"/>
          </v:handles>
          <o:lock v:ext="edit" selection="t"/>
        </v:shape>
      </w:pict>
    </w:r>
    <w:r>
      <w:rPr>
        <w:b/>
      </w:rPr>
      <w:t>Trust Board Minutes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C98" w:rsidRDefault="00D11C98">
    <w:pPr>
      <w:pStyle w:val="Header"/>
      <w:jc w:val="right"/>
      <w:rPr>
        <w:lang w:eastAsia="en-GB"/>
      </w:rPr>
    </w:pPr>
    <w:r>
      <w:rPr>
        <w:noProof/>
        <w:lang w:eastAsia="en-GB"/>
      </w:rPr>
      <w:drawing>
        <wp:inline distT="0" distB="0" distL="0" distR="0" wp14:anchorId="5C1004F8" wp14:editId="6D9B9501">
          <wp:extent cx="1346200" cy="736600"/>
          <wp:effectExtent l="0" t="0" r="6350" b="6350"/>
          <wp:docPr id="2" name="Image1" descr="North Bristol NHS Trust Logo" title="North Bristol NHS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rcRect l="-13" t="-24" r="-13" b="-24"/>
                  <a:stretch>
                    <a:fillRect/>
                  </a:stretch>
                </pic:blipFill>
                <pic:spPr bwMode="auto">
                  <a:xfrm>
                    <a:off x="0" y="0"/>
                    <a:ext cx="1346200" cy="7366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522D"/>
    <w:multiLevelType w:val="hybridMultilevel"/>
    <w:tmpl w:val="93849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A55467"/>
    <w:multiLevelType w:val="hybridMultilevel"/>
    <w:tmpl w:val="725A6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E3785F"/>
    <w:multiLevelType w:val="hybridMultilevel"/>
    <w:tmpl w:val="9BDA607E"/>
    <w:lvl w:ilvl="0" w:tplc="742E73C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E647D5"/>
    <w:multiLevelType w:val="hybridMultilevel"/>
    <w:tmpl w:val="EEF86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D1655B"/>
    <w:multiLevelType w:val="hybridMultilevel"/>
    <w:tmpl w:val="49D031F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5">
    <w:nsid w:val="1ABD0AB5"/>
    <w:multiLevelType w:val="hybridMultilevel"/>
    <w:tmpl w:val="1B7853F6"/>
    <w:lvl w:ilvl="0" w:tplc="4CEA05F6">
      <w:start w:val="120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005B1B"/>
    <w:multiLevelType w:val="hybridMultilevel"/>
    <w:tmpl w:val="BF5A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424B11"/>
    <w:multiLevelType w:val="hybridMultilevel"/>
    <w:tmpl w:val="05FA97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1CC610A6"/>
    <w:multiLevelType w:val="hybridMultilevel"/>
    <w:tmpl w:val="B0CC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FC7C36"/>
    <w:multiLevelType w:val="hybridMultilevel"/>
    <w:tmpl w:val="F44A8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A06C0B"/>
    <w:multiLevelType w:val="hybridMultilevel"/>
    <w:tmpl w:val="85B01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AC3454"/>
    <w:multiLevelType w:val="hybridMultilevel"/>
    <w:tmpl w:val="8FDA4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215DE0"/>
    <w:multiLevelType w:val="hybridMultilevel"/>
    <w:tmpl w:val="47865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4B91499"/>
    <w:multiLevelType w:val="hybridMultilevel"/>
    <w:tmpl w:val="6B32F3E8"/>
    <w:lvl w:ilvl="0" w:tplc="506E039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49284B"/>
    <w:multiLevelType w:val="hybridMultilevel"/>
    <w:tmpl w:val="EB688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60791A"/>
    <w:multiLevelType w:val="hybridMultilevel"/>
    <w:tmpl w:val="583C4A2A"/>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91B1A51"/>
    <w:multiLevelType w:val="hybridMultilevel"/>
    <w:tmpl w:val="FD8EB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7954E4"/>
    <w:multiLevelType w:val="hybridMultilevel"/>
    <w:tmpl w:val="0102F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4E5ED3"/>
    <w:multiLevelType w:val="hybridMultilevel"/>
    <w:tmpl w:val="BF165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3722E5"/>
    <w:multiLevelType w:val="hybridMultilevel"/>
    <w:tmpl w:val="DC487A4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E755B28"/>
    <w:multiLevelType w:val="hybridMultilevel"/>
    <w:tmpl w:val="CD887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EDE1B85"/>
    <w:multiLevelType w:val="hybridMultilevel"/>
    <w:tmpl w:val="05329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5C5FF0"/>
    <w:multiLevelType w:val="hybridMultilevel"/>
    <w:tmpl w:val="B4EC4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0D6164B"/>
    <w:multiLevelType w:val="hybridMultilevel"/>
    <w:tmpl w:val="9E6E5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21269BA"/>
    <w:multiLevelType w:val="hybridMultilevel"/>
    <w:tmpl w:val="9B44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2C53005"/>
    <w:multiLevelType w:val="hybridMultilevel"/>
    <w:tmpl w:val="5EAEC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347389C"/>
    <w:multiLevelType w:val="hybridMultilevel"/>
    <w:tmpl w:val="B7829156"/>
    <w:lvl w:ilvl="0" w:tplc="087CFF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4A64A76"/>
    <w:multiLevelType w:val="hybridMultilevel"/>
    <w:tmpl w:val="B7165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A4A4EB8"/>
    <w:multiLevelType w:val="hybridMultilevel"/>
    <w:tmpl w:val="5BF40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0904D7"/>
    <w:multiLevelType w:val="hybridMultilevel"/>
    <w:tmpl w:val="C79C5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1223A7F"/>
    <w:multiLevelType w:val="hybridMultilevel"/>
    <w:tmpl w:val="BDDE8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16C6140"/>
    <w:multiLevelType w:val="hybridMultilevel"/>
    <w:tmpl w:val="2DBC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2530D01"/>
    <w:multiLevelType w:val="hybridMultilevel"/>
    <w:tmpl w:val="3F609FDC"/>
    <w:lvl w:ilvl="0" w:tplc="08090001">
      <w:start w:val="1"/>
      <w:numFmt w:val="bullet"/>
      <w:lvlText w:val=""/>
      <w:lvlJc w:val="left"/>
      <w:pPr>
        <w:ind w:left="970" w:hanging="360"/>
      </w:pPr>
      <w:rPr>
        <w:rFonts w:ascii="Symbol" w:hAnsi="Symbol" w:hint="default"/>
      </w:rPr>
    </w:lvl>
    <w:lvl w:ilvl="1" w:tplc="08090003" w:tentative="1">
      <w:start w:val="1"/>
      <w:numFmt w:val="bullet"/>
      <w:lvlText w:val="o"/>
      <w:lvlJc w:val="left"/>
      <w:pPr>
        <w:ind w:left="1690" w:hanging="360"/>
      </w:pPr>
      <w:rPr>
        <w:rFonts w:ascii="Courier New" w:hAnsi="Courier New" w:cs="Courier New" w:hint="default"/>
      </w:rPr>
    </w:lvl>
    <w:lvl w:ilvl="2" w:tplc="08090005" w:tentative="1">
      <w:start w:val="1"/>
      <w:numFmt w:val="bullet"/>
      <w:lvlText w:val=""/>
      <w:lvlJc w:val="left"/>
      <w:pPr>
        <w:ind w:left="2410" w:hanging="360"/>
      </w:pPr>
      <w:rPr>
        <w:rFonts w:ascii="Wingdings" w:hAnsi="Wingdings" w:hint="default"/>
      </w:rPr>
    </w:lvl>
    <w:lvl w:ilvl="3" w:tplc="08090001" w:tentative="1">
      <w:start w:val="1"/>
      <w:numFmt w:val="bullet"/>
      <w:lvlText w:val=""/>
      <w:lvlJc w:val="left"/>
      <w:pPr>
        <w:ind w:left="3130" w:hanging="360"/>
      </w:pPr>
      <w:rPr>
        <w:rFonts w:ascii="Symbol" w:hAnsi="Symbol" w:hint="default"/>
      </w:rPr>
    </w:lvl>
    <w:lvl w:ilvl="4" w:tplc="08090003" w:tentative="1">
      <w:start w:val="1"/>
      <w:numFmt w:val="bullet"/>
      <w:lvlText w:val="o"/>
      <w:lvlJc w:val="left"/>
      <w:pPr>
        <w:ind w:left="3850" w:hanging="360"/>
      </w:pPr>
      <w:rPr>
        <w:rFonts w:ascii="Courier New" w:hAnsi="Courier New" w:cs="Courier New" w:hint="default"/>
      </w:rPr>
    </w:lvl>
    <w:lvl w:ilvl="5" w:tplc="08090005" w:tentative="1">
      <w:start w:val="1"/>
      <w:numFmt w:val="bullet"/>
      <w:lvlText w:val=""/>
      <w:lvlJc w:val="left"/>
      <w:pPr>
        <w:ind w:left="4570" w:hanging="360"/>
      </w:pPr>
      <w:rPr>
        <w:rFonts w:ascii="Wingdings" w:hAnsi="Wingdings" w:hint="default"/>
      </w:rPr>
    </w:lvl>
    <w:lvl w:ilvl="6" w:tplc="08090001" w:tentative="1">
      <w:start w:val="1"/>
      <w:numFmt w:val="bullet"/>
      <w:lvlText w:val=""/>
      <w:lvlJc w:val="left"/>
      <w:pPr>
        <w:ind w:left="5290" w:hanging="360"/>
      </w:pPr>
      <w:rPr>
        <w:rFonts w:ascii="Symbol" w:hAnsi="Symbol" w:hint="default"/>
      </w:rPr>
    </w:lvl>
    <w:lvl w:ilvl="7" w:tplc="08090003" w:tentative="1">
      <w:start w:val="1"/>
      <w:numFmt w:val="bullet"/>
      <w:lvlText w:val="o"/>
      <w:lvlJc w:val="left"/>
      <w:pPr>
        <w:ind w:left="6010" w:hanging="360"/>
      </w:pPr>
      <w:rPr>
        <w:rFonts w:ascii="Courier New" w:hAnsi="Courier New" w:cs="Courier New" w:hint="default"/>
      </w:rPr>
    </w:lvl>
    <w:lvl w:ilvl="8" w:tplc="08090005" w:tentative="1">
      <w:start w:val="1"/>
      <w:numFmt w:val="bullet"/>
      <w:lvlText w:val=""/>
      <w:lvlJc w:val="left"/>
      <w:pPr>
        <w:ind w:left="6730" w:hanging="360"/>
      </w:pPr>
      <w:rPr>
        <w:rFonts w:ascii="Wingdings" w:hAnsi="Wingdings" w:hint="default"/>
      </w:rPr>
    </w:lvl>
  </w:abstractNum>
  <w:abstractNum w:abstractNumId="33">
    <w:nsid w:val="54033D90"/>
    <w:multiLevelType w:val="hybridMultilevel"/>
    <w:tmpl w:val="F22E8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0AD0CDE"/>
    <w:multiLevelType w:val="hybridMultilevel"/>
    <w:tmpl w:val="AFA84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743E31"/>
    <w:multiLevelType w:val="hybridMultilevel"/>
    <w:tmpl w:val="5972C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42E152B"/>
    <w:multiLevelType w:val="hybridMultilevel"/>
    <w:tmpl w:val="8C54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48506D7"/>
    <w:multiLevelType w:val="hybridMultilevel"/>
    <w:tmpl w:val="4904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E56186B"/>
    <w:multiLevelType w:val="hybridMultilevel"/>
    <w:tmpl w:val="DC24D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63363FF"/>
    <w:multiLevelType w:val="hybridMultilevel"/>
    <w:tmpl w:val="0610EE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65A237F"/>
    <w:multiLevelType w:val="hybridMultilevel"/>
    <w:tmpl w:val="E690D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70F411A"/>
    <w:multiLevelType w:val="hybridMultilevel"/>
    <w:tmpl w:val="77160C7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2">
    <w:nsid w:val="778867A7"/>
    <w:multiLevelType w:val="hybridMultilevel"/>
    <w:tmpl w:val="43DCB7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nsid w:val="7A486617"/>
    <w:multiLevelType w:val="hybridMultilevel"/>
    <w:tmpl w:val="A874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21"/>
  </w:num>
  <w:num w:numId="3">
    <w:abstractNumId w:val="4"/>
  </w:num>
  <w:num w:numId="4">
    <w:abstractNumId w:val="9"/>
  </w:num>
  <w:num w:numId="5">
    <w:abstractNumId w:val="3"/>
  </w:num>
  <w:num w:numId="6">
    <w:abstractNumId w:val="17"/>
  </w:num>
  <w:num w:numId="7">
    <w:abstractNumId w:val="18"/>
  </w:num>
  <w:num w:numId="8">
    <w:abstractNumId w:val="43"/>
  </w:num>
  <w:num w:numId="9">
    <w:abstractNumId w:val="16"/>
  </w:num>
  <w:num w:numId="10">
    <w:abstractNumId w:val="0"/>
  </w:num>
  <w:num w:numId="11">
    <w:abstractNumId w:val="24"/>
  </w:num>
  <w:num w:numId="12">
    <w:abstractNumId w:val="10"/>
  </w:num>
  <w:num w:numId="13">
    <w:abstractNumId w:val="30"/>
  </w:num>
  <w:num w:numId="14">
    <w:abstractNumId w:val="31"/>
  </w:num>
  <w:num w:numId="15">
    <w:abstractNumId w:val="8"/>
  </w:num>
  <w:num w:numId="16">
    <w:abstractNumId w:val="37"/>
  </w:num>
  <w:num w:numId="17">
    <w:abstractNumId w:val="32"/>
  </w:num>
  <w:num w:numId="18">
    <w:abstractNumId w:val="14"/>
  </w:num>
  <w:num w:numId="19">
    <w:abstractNumId w:val="34"/>
  </w:num>
  <w:num w:numId="20">
    <w:abstractNumId w:val="40"/>
  </w:num>
  <w:num w:numId="21">
    <w:abstractNumId w:val="6"/>
  </w:num>
  <w:num w:numId="22">
    <w:abstractNumId w:val="5"/>
  </w:num>
  <w:num w:numId="23">
    <w:abstractNumId w:val="25"/>
  </w:num>
  <w:num w:numId="24">
    <w:abstractNumId w:val="42"/>
  </w:num>
  <w:num w:numId="25">
    <w:abstractNumId w:val="1"/>
  </w:num>
  <w:num w:numId="26">
    <w:abstractNumId w:val="20"/>
  </w:num>
  <w:num w:numId="27">
    <w:abstractNumId w:val="15"/>
  </w:num>
  <w:num w:numId="28">
    <w:abstractNumId w:val="39"/>
  </w:num>
  <w:num w:numId="29">
    <w:abstractNumId w:val="23"/>
  </w:num>
  <w:num w:numId="30">
    <w:abstractNumId w:val="27"/>
  </w:num>
  <w:num w:numId="31">
    <w:abstractNumId w:val="13"/>
  </w:num>
  <w:num w:numId="32">
    <w:abstractNumId w:val="11"/>
  </w:num>
  <w:num w:numId="33">
    <w:abstractNumId w:val="36"/>
  </w:num>
  <w:num w:numId="34">
    <w:abstractNumId w:val="19"/>
  </w:num>
  <w:num w:numId="35">
    <w:abstractNumId w:val="28"/>
  </w:num>
  <w:num w:numId="36">
    <w:abstractNumId w:val="2"/>
  </w:num>
  <w:num w:numId="37">
    <w:abstractNumId w:val="26"/>
  </w:num>
  <w:num w:numId="38">
    <w:abstractNumId w:val="22"/>
  </w:num>
  <w:num w:numId="39">
    <w:abstractNumId w:val="35"/>
  </w:num>
  <w:num w:numId="40">
    <w:abstractNumId w:val="12"/>
  </w:num>
  <w:num w:numId="41">
    <w:abstractNumId w:val="33"/>
  </w:num>
  <w:num w:numId="42">
    <w:abstractNumId w:val="7"/>
  </w:num>
  <w:num w:numId="43">
    <w:abstractNumId w:val="38"/>
  </w:num>
  <w:num w:numId="44">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ele Romaine">
    <w15:presenceInfo w15:providerId="AD" w15:userId="S::michele.romaine@nbt.nhs.uk::b5ad6088-5a12-4c56-b2b4-b4cc50bb78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71E"/>
    <w:rsid w:val="000007D9"/>
    <w:rsid w:val="00002619"/>
    <w:rsid w:val="00003ADD"/>
    <w:rsid w:val="00004FE5"/>
    <w:rsid w:val="0000673B"/>
    <w:rsid w:val="00011BD2"/>
    <w:rsid w:val="00012FCC"/>
    <w:rsid w:val="00017323"/>
    <w:rsid w:val="00020973"/>
    <w:rsid w:val="00020D47"/>
    <w:rsid w:val="00021040"/>
    <w:rsid w:val="00022293"/>
    <w:rsid w:val="000226B2"/>
    <w:rsid w:val="00031CB7"/>
    <w:rsid w:val="00033548"/>
    <w:rsid w:val="000353B1"/>
    <w:rsid w:val="00036C58"/>
    <w:rsid w:val="00040584"/>
    <w:rsid w:val="0004552D"/>
    <w:rsid w:val="00046B9D"/>
    <w:rsid w:val="00046D3C"/>
    <w:rsid w:val="000510E0"/>
    <w:rsid w:val="000520E0"/>
    <w:rsid w:val="00052B1C"/>
    <w:rsid w:val="0005334D"/>
    <w:rsid w:val="00054F86"/>
    <w:rsid w:val="0005772D"/>
    <w:rsid w:val="00061A23"/>
    <w:rsid w:val="00061AAC"/>
    <w:rsid w:val="000632C8"/>
    <w:rsid w:val="00063E06"/>
    <w:rsid w:val="00066A59"/>
    <w:rsid w:val="00067FDD"/>
    <w:rsid w:val="00070900"/>
    <w:rsid w:val="000716E4"/>
    <w:rsid w:val="00075757"/>
    <w:rsid w:val="0007627F"/>
    <w:rsid w:val="000762B3"/>
    <w:rsid w:val="00084FA0"/>
    <w:rsid w:val="00087159"/>
    <w:rsid w:val="00090A87"/>
    <w:rsid w:val="000966C0"/>
    <w:rsid w:val="00096C7E"/>
    <w:rsid w:val="000A024B"/>
    <w:rsid w:val="000A0C7F"/>
    <w:rsid w:val="000A14FB"/>
    <w:rsid w:val="000A26F3"/>
    <w:rsid w:val="000A2A72"/>
    <w:rsid w:val="000A4088"/>
    <w:rsid w:val="000A4584"/>
    <w:rsid w:val="000A74A5"/>
    <w:rsid w:val="000B023F"/>
    <w:rsid w:val="000B0ECB"/>
    <w:rsid w:val="000B6A55"/>
    <w:rsid w:val="000B7353"/>
    <w:rsid w:val="000B7D8A"/>
    <w:rsid w:val="000C2489"/>
    <w:rsid w:val="000C551D"/>
    <w:rsid w:val="000D16B6"/>
    <w:rsid w:val="000D4F2E"/>
    <w:rsid w:val="000D5813"/>
    <w:rsid w:val="000D587C"/>
    <w:rsid w:val="000D6CE5"/>
    <w:rsid w:val="000D7209"/>
    <w:rsid w:val="000D7941"/>
    <w:rsid w:val="000D7D98"/>
    <w:rsid w:val="000E0518"/>
    <w:rsid w:val="000E1435"/>
    <w:rsid w:val="000E28C5"/>
    <w:rsid w:val="000E2D74"/>
    <w:rsid w:val="000E791D"/>
    <w:rsid w:val="000F0049"/>
    <w:rsid w:val="000F00FB"/>
    <w:rsid w:val="000F3F85"/>
    <w:rsid w:val="000F4A0C"/>
    <w:rsid w:val="000F50E0"/>
    <w:rsid w:val="000F7249"/>
    <w:rsid w:val="00100251"/>
    <w:rsid w:val="00102132"/>
    <w:rsid w:val="00105721"/>
    <w:rsid w:val="0010631F"/>
    <w:rsid w:val="00107E7F"/>
    <w:rsid w:val="00112A11"/>
    <w:rsid w:val="00114C76"/>
    <w:rsid w:val="00120A2F"/>
    <w:rsid w:val="00120F21"/>
    <w:rsid w:val="001214A1"/>
    <w:rsid w:val="001244EE"/>
    <w:rsid w:val="00125B13"/>
    <w:rsid w:val="00127F19"/>
    <w:rsid w:val="00130B26"/>
    <w:rsid w:val="00131A66"/>
    <w:rsid w:val="0013251B"/>
    <w:rsid w:val="00132FAB"/>
    <w:rsid w:val="00134361"/>
    <w:rsid w:val="0013453A"/>
    <w:rsid w:val="00134831"/>
    <w:rsid w:val="00135F4C"/>
    <w:rsid w:val="00140B01"/>
    <w:rsid w:val="001412D0"/>
    <w:rsid w:val="001421CD"/>
    <w:rsid w:val="001424B8"/>
    <w:rsid w:val="00145D94"/>
    <w:rsid w:val="00146FB3"/>
    <w:rsid w:val="00151297"/>
    <w:rsid w:val="001516FF"/>
    <w:rsid w:val="00155DD6"/>
    <w:rsid w:val="00156BEB"/>
    <w:rsid w:val="00156CEE"/>
    <w:rsid w:val="00156EB7"/>
    <w:rsid w:val="00156FDB"/>
    <w:rsid w:val="001571BE"/>
    <w:rsid w:val="001578BD"/>
    <w:rsid w:val="00157BE3"/>
    <w:rsid w:val="00160C83"/>
    <w:rsid w:val="00162953"/>
    <w:rsid w:val="00162A24"/>
    <w:rsid w:val="001664E7"/>
    <w:rsid w:val="00166E04"/>
    <w:rsid w:val="00170FCD"/>
    <w:rsid w:val="00175626"/>
    <w:rsid w:val="001770EB"/>
    <w:rsid w:val="00180C4A"/>
    <w:rsid w:val="00180E95"/>
    <w:rsid w:val="00180F0E"/>
    <w:rsid w:val="001844E6"/>
    <w:rsid w:val="00185B61"/>
    <w:rsid w:val="00185DE6"/>
    <w:rsid w:val="001860CB"/>
    <w:rsid w:val="00186B90"/>
    <w:rsid w:val="00186E40"/>
    <w:rsid w:val="0018714A"/>
    <w:rsid w:val="00195201"/>
    <w:rsid w:val="00195E90"/>
    <w:rsid w:val="00196FA4"/>
    <w:rsid w:val="00197C48"/>
    <w:rsid w:val="00197F43"/>
    <w:rsid w:val="001A0710"/>
    <w:rsid w:val="001A1289"/>
    <w:rsid w:val="001A20EA"/>
    <w:rsid w:val="001A3F35"/>
    <w:rsid w:val="001A5AA4"/>
    <w:rsid w:val="001B3BB3"/>
    <w:rsid w:val="001B7675"/>
    <w:rsid w:val="001B7A3B"/>
    <w:rsid w:val="001C1D72"/>
    <w:rsid w:val="001D471D"/>
    <w:rsid w:val="001D4B11"/>
    <w:rsid w:val="001D53A5"/>
    <w:rsid w:val="001D69CF"/>
    <w:rsid w:val="001D6FAB"/>
    <w:rsid w:val="001D7089"/>
    <w:rsid w:val="001D7593"/>
    <w:rsid w:val="001D77C5"/>
    <w:rsid w:val="001D7CD5"/>
    <w:rsid w:val="001E1574"/>
    <w:rsid w:val="001E51DE"/>
    <w:rsid w:val="001E5BA5"/>
    <w:rsid w:val="001E6893"/>
    <w:rsid w:val="001F3A71"/>
    <w:rsid w:val="001F402A"/>
    <w:rsid w:val="001F55D7"/>
    <w:rsid w:val="002005E3"/>
    <w:rsid w:val="00201530"/>
    <w:rsid w:val="00202AD9"/>
    <w:rsid w:val="002046FA"/>
    <w:rsid w:val="002061B4"/>
    <w:rsid w:val="00207190"/>
    <w:rsid w:val="00210A56"/>
    <w:rsid w:val="00216072"/>
    <w:rsid w:val="00217FF7"/>
    <w:rsid w:val="0022054D"/>
    <w:rsid w:val="00221F81"/>
    <w:rsid w:val="002223F0"/>
    <w:rsid w:val="002233AD"/>
    <w:rsid w:val="00223E35"/>
    <w:rsid w:val="00224373"/>
    <w:rsid w:val="00231EA7"/>
    <w:rsid w:val="00236776"/>
    <w:rsid w:val="00244299"/>
    <w:rsid w:val="0024451B"/>
    <w:rsid w:val="002461E5"/>
    <w:rsid w:val="00253C5B"/>
    <w:rsid w:val="00253F06"/>
    <w:rsid w:val="00255A28"/>
    <w:rsid w:val="00255E71"/>
    <w:rsid w:val="002564E1"/>
    <w:rsid w:val="0025657F"/>
    <w:rsid w:val="00256811"/>
    <w:rsid w:val="00256F1E"/>
    <w:rsid w:val="0025738F"/>
    <w:rsid w:val="0025742B"/>
    <w:rsid w:val="002577EC"/>
    <w:rsid w:val="00265D2D"/>
    <w:rsid w:val="002665DA"/>
    <w:rsid w:val="00266773"/>
    <w:rsid w:val="00267F37"/>
    <w:rsid w:val="00270369"/>
    <w:rsid w:val="00274090"/>
    <w:rsid w:val="00275CBC"/>
    <w:rsid w:val="0027658A"/>
    <w:rsid w:val="002769A7"/>
    <w:rsid w:val="002769E3"/>
    <w:rsid w:val="00277461"/>
    <w:rsid w:val="00281047"/>
    <w:rsid w:val="00281D4E"/>
    <w:rsid w:val="00282E53"/>
    <w:rsid w:val="0028303B"/>
    <w:rsid w:val="00283AA9"/>
    <w:rsid w:val="002872D9"/>
    <w:rsid w:val="00287BF3"/>
    <w:rsid w:val="0029016C"/>
    <w:rsid w:val="00292414"/>
    <w:rsid w:val="00292D80"/>
    <w:rsid w:val="00293269"/>
    <w:rsid w:val="002967DC"/>
    <w:rsid w:val="002A0C1F"/>
    <w:rsid w:val="002A2D1F"/>
    <w:rsid w:val="002A333C"/>
    <w:rsid w:val="002A53B1"/>
    <w:rsid w:val="002A615F"/>
    <w:rsid w:val="002B1452"/>
    <w:rsid w:val="002B3A2E"/>
    <w:rsid w:val="002B5BFE"/>
    <w:rsid w:val="002B5FD8"/>
    <w:rsid w:val="002B6FA0"/>
    <w:rsid w:val="002C2C63"/>
    <w:rsid w:val="002C50FA"/>
    <w:rsid w:val="002C5544"/>
    <w:rsid w:val="002C5D56"/>
    <w:rsid w:val="002C5EBE"/>
    <w:rsid w:val="002D3E1E"/>
    <w:rsid w:val="002D40DB"/>
    <w:rsid w:val="002D6CEE"/>
    <w:rsid w:val="002E09DD"/>
    <w:rsid w:val="002E17C1"/>
    <w:rsid w:val="002E26F1"/>
    <w:rsid w:val="002E49B6"/>
    <w:rsid w:val="002F1276"/>
    <w:rsid w:val="002F203D"/>
    <w:rsid w:val="002F2B18"/>
    <w:rsid w:val="002F50F7"/>
    <w:rsid w:val="002F5678"/>
    <w:rsid w:val="00301A45"/>
    <w:rsid w:val="00301AF3"/>
    <w:rsid w:val="0030203E"/>
    <w:rsid w:val="0030386B"/>
    <w:rsid w:val="00306FDC"/>
    <w:rsid w:val="00310A72"/>
    <w:rsid w:val="003111E6"/>
    <w:rsid w:val="003115DA"/>
    <w:rsid w:val="003117A5"/>
    <w:rsid w:val="00312FDD"/>
    <w:rsid w:val="003136D8"/>
    <w:rsid w:val="00315C53"/>
    <w:rsid w:val="003165B3"/>
    <w:rsid w:val="003172E7"/>
    <w:rsid w:val="00325C2F"/>
    <w:rsid w:val="00325D42"/>
    <w:rsid w:val="0032602E"/>
    <w:rsid w:val="00326933"/>
    <w:rsid w:val="00327997"/>
    <w:rsid w:val="00332933"/>
    <w:rsid w:val="00333685"/>
    <w:rsid w:val="00335737"/>
    <w:rsid w:val="003363F1"/>
    <w:rsid w:val="0033647E"/>
    <w:rsid w:val="00336522"/>
    <w:rsid w:val="00341F5C"/>
    <w:rsid w:val="00342DD7"/>
    <w:rsid w:val="00346E39"/>
    <w:rsid w:val="00347D80"/>
    <w:rsid w:val="00351429"/>
    <w:rsid w:val="00351651"/>
    <w:rsid w:val="00356D2F"/>
    <w:rsid w:val="003616D9"/>
    <w:rsid w:val="00362A9E"/>
    <w:rsid w:val="00364061"/>
    <w:rsid w:val="003655FC"/>
    <w:rsid w:val="0037192A"/>
    <w:rsid w:val="003747C7"/>
    <w:rsid w:val="003748E4"/>
    <w:rsid w:val="00391027"/>
    <w:rsid w:val="00392497"/>
    <w:rsid w:val="003925DE"/>
    <w:rsid w:val="00395A99"/>
    <w:rsid w:val="003974C0"/>
    <w:rsid w:val="0039751C"/>
    <w:rsid w:val="003A3DF2"/>
    <w:rsid w:val="003A3E8D"/>
    <w:rsid w:val="003A4C13"/>
    <w:rsid w:val="003A530B"/>
    <w:rsid w:val="003A5860"/>
    <w:rsid w:val="003A6F4C"/>
    <w:rsid w:val="003A7DC7"/>
    <w:rsid w:val="003B2751"/>
    <w:rsid w:val="003B2B25"/>
    <w:rsid w:val="003B7CF9"/>
    <w:rsid w:val="003C0965"/>
    <w:rsid w:val="003C0ECB"/>
    <w:rsid w:val="003C15A2"/>
    <w:rsid w:val="003C1DA6"/>
    <w:rsid w:val="003C4F67"/>
    <w:rsid w:val="003D21BA"/>
    <w:rsid w:val="003D258C"/>
    <w:rsid w:val="003D2932"/>
    <w:rsid w:val="003D4488"/>
    <w:rsid w:val="003D5115"/>
    <w:rsid w:val="003D5EDF"/>
    <w:rsid w:val="003D6B86"/>
    <w:rsid w:val="003E5DFD"/>
    <w:rsid w:val="003E63A1"/>
    <w:rsid w:val="003E717B"/>
    <w:rsid w:val="003F0770"/>
    <w:rsid w:val="003F0A81"/>
    <w:rsid w:val="003F0D12"/>
    <w:rsid w:val="003F1482"/>
    <w:rsid w:val="003F1686"/>
    <w:rsid w:val="003F174F"/>
    <w:rsid w:val="003F3F8C"/>
    <w:rsid w:val="003F67EA"/>
    <w:rsid w:val="003F6FBB"/>
    <w:rsid w:val="00400674"/>
    <w:rsid w:val="004009E0"/>
    <w:rsid w:val="00401285"/>
    <w:rsid w:val="0040169F"/>
    <w:rsid w:val="004040D0"/>
    <w:rsid w:val="00406485"/>
    <w:rsid w:val="00410523"/>
    <w:rsid w:val="00411796"/>
    <w:rsid w:val="004152EB"/>
    <w:rsid w:val="004156F7"/>
    <w:rsid w:val="004178C0"/>
    <w:rsid w:val="00423B3E"/>
    <w:rsid w:val="00424715"/>
    <w:rsid w:val="00424AC2"/>
    <w:rsid w:val="004267AA"/>
    <w:rsid w:val="00426E5A"/>
    <w:rsid w:val="004273EC"/>
    <w:rsid w:val="004305BE"/>
    <w:rsid w:val="00431493"/>
    <w:rsid w:val="00432082"/>
    <w:rsid w:val="0043367A"/>
    <w:rsid w:val="00434542"/>
    <w:rsid w:val="00440264"/>
    <w:rsid w:val="00440E9C"/>
    <w:rsid w:val="00442E56"/>
    <w:rsid w:val="00445AFB"/>
    <w:rsid w:val="004478AC"/>
    <w:rsid w:val="004515E5"/>
    <w:rsid w:val="004551A9"/>
    <w:rsid w:val="00456F76"/>
    <w:rsid w:val="00462C21"/>
    <w:rsid w:val="00471962"/>
    <w:rsid w:val="00472D74"/>
    <w:rsid w:val="00473FFD"/>
    <w:rsid w:val="00474385"/>
    <w:rsid w:val="00475943"/>
    <w:rsid w:val="004764FE"/>
    <w:rsid w:val="00480866"/>
    <w:rsid w:val="00481495"/>
    <w:rsid w:val="00482346"/>
    <w:rsid w:val="0048278C"/>
    <w:rsid w:val="00484025"/>
    <w:rsid w:val="0048494A"/>
    <w:rsid w:val="00486408"/>
    <w:rsid w:val="00490C94"/>
    <w:rsid w:val="00490FC1"/>
    <w:rsid w:val="00491D84"/>
    <w:rsid w:val="004936A6"/>
    <w:rsid w:val="00494DB1"/>
    <w:rsid w:val="00495C02"/>
    <w:rsid w:val="00496CFB"/>
    <w:rsid w:val="0049734D"/>
    <w:rsid w:val="004A0AE4"/>
    <w:rsid w:val="004A39CD"/>
    <w:rsid w:val="004B0154"/>
    <w:rsid w:val="004B5E41"/>
    <w:rsid w:val="004B5F09"/>
    <w:rsid w:val="004B611F"/>
    <w:rsid w:val="004C09D3"/>
    <w:rsid w:val="004C2A65"/>
    <w:rsid w:val="004C5CBD"/>
    <w:rsid w:val="004C5FBF"/>
    <w:rsid w:val="004D079F"/>
    <w:rsid w:val="004D3175"/>
    <w:rsid w:val="004D5CBC"/>
    <w:rsid w:val="004D6409"/>
    <w:rsid w:val="004D64EF"/>
    <w:rsid w:val="004D77C1"/>
    <w:rsid w:val="004D7B35"/>
    <w:rsid w:val="004E2848"/>
    <w:rsid w:val="004F2CCB"/>
    <w:rsid w:val="004F40AD"/>
    <w:rsid w:val="004F4695"/>
    <w:rsid w:val="004F4750"/>
    <w:rsid w:val="004F68A6"/>
    <w:rsid w:val="005025B1"/>
    <w:rsid w:val="005026E8"/>
    <w:rsid w:val="00502D08"/>
    <w:rsid w:val="00503DDC"/>
    <w:rsid w:val="00504983"/>
    <w:rsid w:val="00504F5D"/>
    <w:rsid w:val="00505801"/>
    <w:rsid w:val="00506481"/>
    <w:rsid w:val="00512C62"/>
    <w:rsid w:val="005130E2"/>
    <w:rsid w:val="00513FED"/>
    <w:rsid w:val="00515E56"/>
    <w:rsid w:val="00517EBB"/>
    <w:rsid w:val="0052078C"/>
    <w:rsid w:val="00520E5B"/>
    <w:rsid w:val="00521D68"/>
    <w:rsid w:val="0052408E"/>
    <w:rsid w:val="00524CEB"/>
    <w:rsid w:val="0053154E"/>
    <w:rsid w:val="005404BB"/>
    <w:rsid w:val="00543AA0"/>
    <w:rsid w:val="00544291"/>
    <w:rsid w:val="00544966"/>
    <w:rsid w:val="00544ED8"/>
    <w:rsid w:val="00544FAD"/>
    <w:rsid w:val="005457B6"/>
    <w:rsid w:val="0054616D"/>
    <w:rsid w:val="005502F4"/>
    <w:rsid w:val="005508CA"/>
    <w:rsid w:val="00551630"/>
    <w:rsid w:val="00551797"/>
    <w:rsid w:val="005552F9"/>
    <w:rsid w:val="005557F1"/>
    <w:rsid w:val="00561129"/>
    <w:rsid w:val="005621C8"/>
    <w:rsid w:val="00562DBC"/>
    <w:rsid w:val="00562E37"/>
    <w:rsid w:val="00563630"/>
    <w:rsid w:val="00564D1C"/>
    <w:rsid w:val="00564E78"/>
    <w:rsid w:val="00566A61"/>
    <w:rsid w:val="005713AE"/>
    <w:rsid w:val="00572380"/>
    <w:rsid w:val="00572EB2"/>
    <w:rsid w:val="00572FAB"/>
    <w:rsid w:val="00574EC8"/>
    <w:rsid w:val="00580A3E"/>
    <w:rsid w:val="00582FD1"/>
    <w:rsid w:val="005845E9"/>
    <w:rsid w:val="00585634"/>
    <w:rsid w:val="00585967"/>
    <w:rsid w:val="00587680"/>
    <w:rsid w:val="00587734"/>
    <w:rsid w:val="0059231E"/>
    <w:rsid w:val="005951E6"/>
    <w:rsid w:val="005A028F"/>
    <w:rsid w:val="005A030E"/>
    <w:rsid w:val="005A1ABC"/>
    <w:rsid w:val="005A21DA"/>
    <w:rsid w:val="005A3739"/>
    <w:rsid w:val="005A5F70"/>
    <w:rsid w:val="005B166C"/>
    <w:rsid w:val="005B1860"/>
    <w:rsid w:val="005B2988"/>
    <w:rsid w:val="005B4ABB"/>
    <w:rsid w:val="005B643B"/>
    <w:rsid w:val="005B6864"/>
    <w:rsid w:val="005B7845"/>
    <w:rsid w:val="005C0155"/>
    <w:rsid w:val="005C3DBA"/>
    <w:rsid w:val="005C48CE"/>
    <w:rsid w:val="005C49B1"/>
    <w:rsid w:val="005C5C90"/>
    <w:rsid w:val="005C6CF0"/>
    <w:rsid w:val="005D6034"/>
    <w:rsid w:val="005D631A"/>
    <w:rsid w:val="005D7488"/>
    <w:rsid w:val="005E1E2D"/>
    <w:rsid w:val="005E260A"/>
    <w:rsid w:val="005E2A33"/>
    <w:rsid w:val="005E6FD9"/>
    <w:rsid w:val="005F0BB2"/>
    <w:rsid w:val="005F2FAB"/>
    <w:rsid w:val="005F40DB"/>
    <w:rsid w:val="005F607B"/>
    <w:rsid w:val="005F695E"/>
    <w:rsid w:val="005F73D7"/>
    <w:rsid w:val="005F76C2"/>
    <w:rsid w:val="005F7BF5"/>
    <w:rsid w:val="00601B85"/>
    <w:rsid w:val="00606154"/>
    <w:rsid w:val="00612765"/>
    <w:rsid w:val="0061299C"/>
    <w:rsid w:val="00612BFF"/>
    <w:rsid w:val="00613E24"/>
    <w:rsid w:val="00621594"/>
    <w:rsid w:val="00622492"/>
    <w:rsid w:val="00622B2E"/>
    <w:rsid w:val="00623CA6"/>
    <w:rsid w:val="00623DD7"/>
    <w:rsid w:val="00626862"/>
    <w:rsid w:val="006319A5"/>
    <w:rsid w:val="00640A09"/>
    <w:rsid w:val="00640B10"/>
    <w:rsid w:val="006418B3"/>
    <w:rsid w:val="006440E8"/>
    <w:rsid w:val="00646522"/>
    <w:rsid w:val="006477F1"/>
    <w:rsid w:val="00650648"/>
    <w:rsid w:val="0065126B"/>
    <w:rsid w:val="0065224A"/>
    <w:rsid w:val="00654D0D"/>
    <w:rsid w:val="0066017B"/>
    <w:rsid w:val="00662E5E"/>
    <w:rsid w:val="006634E4"/>
    <w:rsid w:val="00663724"/>
    <w:rsid w:val="00664B29"/>
    <w:rsid w:val="006653AD"/>
    <w:rsid w:val="00665D88"/>
    <w:rsid w:val="00666E6D"/>
    <w:rsid w:val="0066719B"/>
    <w:rsid w:val="006676C4"/>
    <w:rsid w:val="00671215"/>
    <w:rsid w:val="00672C4E"/>
    <w:rsid w:val="006734D7"/>
    <w:rsid w:val="006738E9"/>
    <w:rsid w:val="00674C13"/>
    <w:rsid w:val="006757AB"/>
    <w:rsid w:val="00675D02"/>
    <w:rsid w:val="00675D50"/>
    <w:rsid w:val="00676F94"/>
    <w:rsid w:val="0068038D"/>
    <w:rsid w:val="00680778"/>
    <w:rsid w:val="00682FB4"/>
    <w:rsid w:val="00683A6E"/>
    <w:rsid w:val="0068556E"/>
    <w:rsid w:val="006925C2"/>
    <w:rsid w:val="00692E52"/>
    <w:rsid w:val="0069569C"/>
    <w:rsid w:val="00695940"/>
    <w:rsid w:val="00695D59"/>
    <w:rsid w:val="006966C0"/>
    <w:rsid w:val="006A08D1"/>
    <w:rsid w:val="006A0A49"/>
    <w:rsid w:val="006A0BC0"/>
    <w:rsid w:val="006A2867"/>
    <w:rsid w:val="006A4822"/>
    <w:rsid w:val="006A4D23"/>
    <w:rsid w:val="006A72E7"/>
    <w:rsid w:val="006A7F96"/>
    <w:rsid w:val="006B0369"/>
    <w:rsid w:val="006B0D06"/>
    <w:rsid w:val="006B170D"/>
    <w:rsid w:val="006B1A77"/>
    <w:rsid w:val="006B2481"/>
    <w:rsid w:val="006B4B45"/>
    <w:rsid w:val="006C197E"/>
    <w:rsid w:val="006C26BA"/>
    <w:rsid w:val="006C3C33"/>
    <w:rsid w:val="006C4CA4"/>
    <w:rsid w:val="006D14E8"/>
    <w:rsid w:val="006D45DF"/>
    <w:rsid w:val="006D5619"/>
    <w:rsid w:val="006D6A39"/>
    <w:rsid w:val="006E14B2"/>
    <w:rsid w:val="006E378D"/>
    <w:rsid w:val="006E43D0"/>
    <w:rsid w:val="006E5EFC"/>
    <w:rsid w:val="006E5F68"/>
    <w:rsid w:val="006F0C7A"/>
    <w:rsid w:val="006F1661"/>
    <w:rsid w:val="006F26CE"/>
    <w:rsid w:val="006F5EB0"/>
    <w:rsid w:val="006F6760"/>
    <w:rsid w:val="006F73C2"/>
    <w:rsid w:val="00701D8C"/>
    <w:rsid w:val="007028BB"/>
    <w:rsid w:val="0070455B"/>
    <w:rsid w:val="00706DD8"/>
    <w:rsid w:val="00707199"/>
    <w:rsid w:val="007075EC"/>
    <w:rsid w:val="00710AC7"/>
    <w:rsid w:val="00713039"/>
    <w:rsid w:val="00713878"/>
    <w:rsid w:val="007141EF"/>
    <w:rsid w:val="007143E6"/>
    <w:rsid w:val="007174FC"/>
    <w:rsid w:val="007177F7"/>
    <w:rsid w:val="00720BDC"/>
    <w:rsid w:val="00721AB0"/>
    <w:rsid w:val="00722F83"/>
    <w:rsid w:val="007239AB"/>
    <w:rsid w:val="00723A51"/>
    <w:rsid w:val="00732043"/>
    <w:rsid w:val="0073263F"/>
    <w:rsid w:val="00732927"/>
    <w:rsid w:val="00733C79"/>
    <w:rsid w:val="007377CE"/>
    <w:rsid w:val="0073784D"/>
    <w:rsid w:val="007409EF"/>
    <w:rsid w:val="007424B1"/>
    <w:rsid w:val="007436B9"/>
    <w:rsid w:val="00743C3A"/>
    <w:rsid w:val="00746EF7"/>
    <w:rsid w:val="00747B4D"/>
    <w:rsid w:val="00747B9B"/>
    <w:rsid w:val="00747F5A"/>
    <w:rsid w:val="00751AB5"/>
    <w:rsid w:val="00752080"/>
    <w:rsid w:val="0075289C"/>
    <w:rsid w:val="007540F8"/>
    <w:rsid w:val="0076091C"/>
    <w:rsid w:val="00760930"/>
    <w:rsid w:val="00760B64"/>
    <w:rsid w:val="00760CB2"/>
    <w:rsid w:val="0076250C"/>
    <w:rsid w:val="007629D7"/>
    <w:rsid w:val="00765C79"/>
    <w:rsid w:val="00767845"/>
    <w:rsid w:val="007730D1"/>
    <w:rsid w:val="007739A6"/>
    <w:rsid w:val="00774A42"/>
    <w:rsid w:val="00777BBE"/>
    <w:rsid w:val="007810A0"/>
    <w:rsid w:val="007837D3"/>
    <w:rsid w:val="00783B7F"/>
    <w:rsid w:val="007853A0"/>
    <w:rsid w:val="0078585B"/>
    <w:rsid w:val="00786B33"/>
    <w:rsid w:val="00790C3E"/>
    <w:rsid w:val="007935C4"/>
    <w:rsid w:val="007935F9"/>
    <w:rsid w:val="007940EB"/>
    <w:rsid w:val="007A0EC3"/>
    <w:rsid w:val="007A43D6"/>
    <w:rsid w:val="007A4F96"/>
    <w:rsid w:val="007B0B4C"/>
    <w:rsid w:val="007B79FA"/>
    <w:rsid w:val="007B7F5A"/>
    <w:rsid w:val="007C0840"/>
    <w:rsid w:val="007C1B0C"/>
    <w:rsid w:val="007C2407"/>
    <w:rsid w:val="007C5109"/>
    <w:rsid w:val="007C6188"/>
    <w:rsid w:val="007C6D84"/>
    <w:rsid w:val="007D1F03"/>
    <w:rsid w:val="007D1F64"/>
    <w:rsid w:val="007D37AB"/>
    <w:rsid w:val="007D4AA8"/>
    <w:rsid w:val="007D4CCB"/>
    <w:rsid w:val="007D6AB7"/>
    <w:rsid w:val="007D6C35"/>
    <w:rsid w:val="007E2D0B"/>
    <w:rsid w:val="007E72A3"/>
    <w:rsid w:val="007F02D8"/>
    <w:rsid w:val="007F3AAA"/>
    <w:rsid w:val="007F4741"/>
    <w:rsid w:val="007F66E1"/>
    <w:rsid w:val="007F7025"/>
    <w:rsid w:val="008010D1"/>
    <w:rsid w:val="008016C2"/>
    <w:rsid w:val="00801ABC"/>
    <w:rsid w:val="008027E8"/>
    <w:rsid w:val="00802C39"/>
    <w:rsid w:val="008064D5"/>
    <w:rsid w:val="0081020F"/>
    <w:rsid w:val="00811BFE"/>
    <w:rsid w:val="00811D2E"/>
    <w:rsid w:val="00812285"/>
    <w:rsid w:val="00814C77"/>
    <w:rsid w:val="00815EB4"/>
    <w:rsid w:val="008162FC"/>
    <w:rsid w:val="00817294"/>
    <w:rsid w:val="00817AEB"/>
    <w:rsid w:val="00825099"/>
    <w:rsid w:val="008320EE"/>
    <w:rsid w:val="0083327D"/>
    <w:rsid w:val="00833AA8"/>
    <w:rsid w:val="00834F32"/>
    <w:rsid w:val="0083530E"/>
    <w:rsid w:val="00836482"/>
    <w:rsid w:val="0083687C"/>
    <w:rsid w:val="00836AC6"/>
    <w:rsid w:val="008375AC"/>
    <w:rsid w:val="008425E3"/>
    <w:rsid w:val="00844ABF"/>
    <w:rsid w:val="00845BC2"/>
    <w:rsid w:val="008501C5"/>
    <w:rsid w:val="008542D5"/>
    <w:rsid w:val="0085431C"/>
    <w:rsid w:val="00854D7F"/>
    <w:rsid w:val="008550AC"/>
    <w:rsid w:val="008608A1"/>
    <w:rsid w:val="00860BF3"/>
    <w:rsid w:val="008618FA"/>
    <w:rsid w:val="0086361E"/>
    <w:rsid w:val="00865215"/>
    <w:rsid w:val="0086588E"/>
    <w:rsid w:val="00865BC7"/>
    <w:rsid w:val="0086639B"/>
    <w:rsid w:val="00867042"/>
    <w:rsid w:val="00867874"/>
    <w:rsid w:val="008702C2"/>
    <w:rsid w:val="00870B61"/>
    <w:rsid w:val="00873F30"/>
    <w:rsid w:val="00874E5C"/>
    <w:rsid w:val="00875F34"/>
    <w:rsid w:val="008761A4"/>
    <w:rsid w:val="0087631A"/>
    <w:rsid w:val="00882D76"/>
    <w:rsid w:val="00883F31"/>
    <w:rsid w:val="0088401E"/>
    <w:rsid w:val="00884A1C"/>
    <w:rsid w:val="00886BC6"/>
    <w:rsid w:val="00891E2D"/>
    <w:rsid w:val="00891F3E"/>
    <w:rsid w:val="00894C9F"/>
    <w:rsid w:val="0089654E"/>
    <w:rsid w:val="008A3159"/>
    <w:rsid w:val="008A52A4"/>
    <w:rsid w:val="008A73DD"/>
    <w:rsid w:val="008B0E4A"/>
    <w:rsid w:val="008B155E"/>
    <w:rsid w:val="008B2EB1"/>
    <w:rsid w:val="008B3A77"/>
    <w:rsid w:val="008B401F"/>
    <w:rsid w:val="008B651F"/>
    <w:rsid w:val="008C267D"/>
    <w:rsid w:val="008C26E6"/>
    <w:rsid w:val="008C37E3"/>
    <w:rsid w:val="008C3DBB"/>
    <w:rsid w:val="008C4DEE"/>
    <w:rsid w:val="008D1E6A"/>
    <w:rsid w:val="008D3E68"/>
    <w:rsid w:val="008E1409"/>
    <w:rsid w:val="008E2695"/>
    <w:rsid w:val="008E60D3"/>
    <w:rsid w:val="008F0395"/>
    <w:rsid w:val="008F1292"/>
    <w:rsid w:val="008F134C"/>
    <w:rsid w:val="008F18FF"/>
    <w:rsid w:val="008F3A85"/>
    <w:rsid w:val="008F3AF0"/>
    <w:rsid w:val="008F437D"/>
    <w:rsid w:val="008F5411"/>
    <w:rsid w:val="00900437"/>
    <w:rsid w:val="009027D1"/>
    <w:rsid w:val="00902857"/>
    <w:rsid w:val="00906676"/>
    <w:rsid w:val="00906E6C"/>
    <w:rsid w:val="0091108D"/>
    <w:rsid w:val="009112DB"/>
    <w:rsid w:val="00912AEA"/>
    <w:rsid w:val="00916683"/>
    <w:rsid w:val="009201E3"/>
    <w:rsid w:val="00920CEA"/>
    <w:rsid w:val="009230E5"/>
    <w:rsid w:val="00924642"/>
    <w:rsid w:val="00924C15"/>
    <w:rsid w:val="00927F23"/>
    <w:rsid w:val="009306D1"/>
    <w:rsid w:val="00931665"/>
    <w:rsid w:val="009318EE"/>
    <w:rsid w:val="00935306"/>
    <w:rsid w:val="0093670C"/>
    <w:rsid w:val="00936C23"/>
    <w:rsid w:val="009400E2"/>
    <w:rsid w:val="009407BF"/>
    <w:rsid w:val="00942291"/>
    <w:rsid w:val="00944775"/>
    <w:rsid w:val="0094588A"/>
    <w:rsid w:val="00947C86"/>
    <w:rsid w:val="00947FC1"/>
    <w:rsid w:val="00952E2C"/>
    <w:rsid w:val="0095523B"/>
    <w:rsid w:val="0095608F"/>
    <w:rsid w:val="00956997"/>
    <w:rsid w:val="00961F1D"/>
    <w:rsid w:val="009628BF"/>
    <w:rsid w:val="00966D75"/>
    <w:rsid w:val="009727D2"/>
    <w:rsid w:val="0097462C"/>
    <w:rsid w:val="00974710"/>
    <w:rsid w:val="00975CEC"/>
    <w:rsid w:val="00980139"/>
    <w:rsid w:val="009811ED"/>
    <w:rsid w:val="00983B30"/>
    <w:rsid w:val="00984D04"/>
    <w:rsid w:val="00987732"/>
    <w:rsid w:val="00987F4B"/>
    <w:rsid w:val="00990121"/>
    <w:rsid w:val="00993320"/>
    <w:rsid w:val="009955CC"/>
    <w:rsid w:val="00995881"/>
    <w:rsid w:val="009A0CBB"/>
    <w:rsid w:val="009B4D2F"/>
    <w:rsid w:val="009C0C13"/>
    <w:rsid w:val="009C1297"/>
    <w:rsid w:val="009C5B94"/>
    <w:rsid w:val="009C78DB"/>
    <w:rsid w:val="009D0282"/>
    <w:rsid w:val="009D15BE"/>
    <w:rsid w:val="009D2689"/>
    <w:rsid w:val="009D6F82"/>
    <w:rsid w:val="009D77D8"/>
    <w:rsid w:val="009E2135"/>
    <w:rsid w:val="009E3162"/>
    <w:rsid w:val="009E44AE"/>
    <w:rsid w:val="009E6C52"/>
    <w:rsid w:val="009E75B8"/>
    <w:rsid w:val="009F1572"/>
    <w:rsid w:val="009F2276"/>
    <w:rsid w:val="009F28BA"/>
    <w:rsid w:val="009F296A"/>
    <w:rsid w:val="009F3867"/>
    <w:rsid w:val="00A01718"/>
    <w:rsid w:val="00A01A4D"/>
    <w:rsid w:val="00A05130"/>
    <w:rsid w:val="00A05C90"/>
    <w:rsid w:val="00A05E57"/>
    <w:rsid w:val="00A05EBB"/>
    <w:rsid w:val="00A06C4C"/>
    <w:rsid w:val="00A07C3C"/>
    <w:rsid w:val="00A10FA9"/>
    <w:rsid w:val="00A16717"/>
    <w:rsid w:val="00A2129B"/>
    <w:rsid w:val="00A27372"/>
    <w:rsid w:val="00A30D1A"/>
    <w:rsid w:val="00A34553"/>
    <w:rsid w:val="00A357E0"/>
    <w:rsid w:val="00A37546"/>
    <w:rsid w:val="00A41591"/>
    <w:rsid w:val="00A4387F"/>
    <w:rsid w:val="00A43E90"/>
    <w:rsid w:val="00A449BF"/>
    <w:rsid w:val="00A4623A"/>
    <w:rsid w:val="00A4743F"/>
    <w:rsid w:val="00A50510"/>
    <w:rsid w:val="00A5152C"/>
    <w:rsid w:val="00A541AA"/>
    <w:rsid w:val="00A54398"/>
    <w:rsid w:val="00A54C6C"/>
    <w:rsid w:val="00A557F5"/>
    <w:rsid w:val="00A56ECD"/>
    <w:rsid w:val="00A6066F"/>
    <w:rsid w:val="00A60CE6"/>
    <w:rsid w:val="00A6198C"/>
    <w:rsid w:val="00A62A01"/>
    <w:rsid w:val="00A64B87"/>
    <w:rsid w:val="00A66E0C"/>
    <w:rsid w:val="00A6734A"/>
    <w:rsid w:val="00A67A94"/>
    <w:rsid w:val="00A723E9"/>
    <w:rsid w:val="00A7365C"/>
    <w:rsid w:val="00A74657"/>
    <w:rsid w:val="00A74A33"/>
    <w:rsid w:val="00A8041F"/>
    <w:rsid w:val="00A8198B"/>
    <w:rsid w:val="00A83DCA"/>
    <w:rsid w:val="00A842A4"/>
    <w:rsid w:val="00A856AD"/>
    <w:rsid w:val="00A85AEA"/>
    <w:rsid w:val="00A85DBA"/>
    <w:rsid w:val="00A87A34"/>
    <w:rsid w:val="00A90055"/>
    <w:rsid w:val="00A94787"/>
    <w:rsid w:val="00A948C6"/>
    <w:rsid w:val="00A95458"/>
    <w:rsid w:val="00A96638"/>
    <w:rsid w:val="00A9767D"/>
    <w:rsid w:val="00AA11BA"/>
    <w:rsid w:val="00AA2B27"/>
    <w:rsid w:val="00AA2D79"/>
    <w:rsid w:val="00AA6C33"/>
    <w:rsid w:val="00AB21EC"/>
    <w:rsid w:val="00AB340F"/>
    <w:rsid w:val="00AC1E05"/>
    <w:rsid w:val="00AC2571"/>
    <w:rsid w:val="00AC670F"/>
    <w:rsid w:val="00AD2570"/>
    <w:rsid w:val="00AE01E8"/>
    <w:rsid w:val="00AE086B"/>
    <w:rsid w:val="00AE2E35"/>
    <w:rsid w:val="00AF3112"/>
    <w:rsid w:val="00AF604B"/>
    <w:rsid w:val="00AF63FF"/>
    <w:rsid w:val="00AF7853"/>
    <w:rsid w:val="00B003D4"/>
    <w:rsid w:val="00B0565C"/>
    <w:rsid w:val="00B101E9"/>
    <w:rsid w:val="00B11863"/>
    <w:rsid w:val="00B11C9D"/>
    <w:rsid w:val="00B15C0F"/>
    <w:rsid w:val="00B1701C"/>
    <w:rsid w:val="00B2171E"/>
    <w:rsid w:val="00B24BF5"/>
    <w:rsid w:val="00B259B9"/>
    <w:rsid w:val="00B27F1D"/>
    <w:rsid w:val="00B32BDE"/>
    <w:rsid w:val="00B341FD"/>
    <w:rsid w:val="00B34380"/>
    <w:rsid w:val="00B34B88"/>
    <w:rsid w:val="00B35334"/>
    <w:rsid w:val="00B35C8E"/>
    <w:rsid w:val="00B40969"/>
    <w:rsid w:val="00B41A63"/>
    <w:rsid w:val="00B41DB4"/>
    <w:rsid w:val="00B43228"/>
    <w:rsid w:val="00B43BFF"/>
    <w:rsid w:val="00B44698"/>
    <w:rsid w:val="00B46777"/>
    <w:rsid w:val="00B4738F"/>
    <w:rsid w:val="00B52198"/>
    <w:rsid w:val="00B5378B"/>
    <w:rsid w:val="00B53805"/>
    <w:rsid w:val="00B54453"/>
    <w:rsid w:val="00B54F27"/>
    <w:rsid w:val="00B5591C"/>
    <w:rsid w:val="00B57A44"/>
    <w:rsid w:val="00B57D0E"/>
    <w:rsid w:val="00B60B48"/>
    <w:rsid w:val="00B613E5"/>
    <w:rsid w:val="00B63006"/>
    <w:rsid w:val="00B63C68"/>
    <w:rsid w:val="00B65D5E"/>
    <w:rsid w:val="00B660C5"/>
    <w:rsid w:val="00B663FD"/>
    <w:rsid w:val="00B66C23"/>
    <w:rsid w:val="00B67E67"/>
    <w:rsid w:val="00B70047"/>
    <w:rsid w:val="00B70755"/>
    <w:rsid w:val="00B70A5F"/>
    <w:rsid w:val="00B71457"/>
    <w:rsid w:val="00B72A0B"/>
    <w:rsid w:val="00B80102"/>
    <w:rsid w:val="00B81433"/>
    <w:rsid w:val="00B819F4"/>
    <w:rsid w:val="00B834B1"/>
    <w:rsid w:val="00B83B58"/>
    <w:rsid w:val="00B8721A"/>
    <w:rsid w:val="00B90D48"/>
    <w:rsid w:val="00B915A7"/>
    <w:rsid w:val="00B9435B"/>
    <w:rsid w:val="00B945E9"/>
    <w:rsid w:val="00B94B83"/>
    <w:rsid w:val="00B9653D"/>
    <w:rsid w:val="00BA0480"/>
    <w:rsid w:val="00BA117D"/>
    <w:rsid w:val="00BA3C49"/>
    <w:rsid w:val="00BA4DFA"/>
    <w:rsid w:val="00BA5103"/>
    <w:rsid w:val="00BA615E"/>
    <w:rsid w:val="00BA7234"/>
    <w:rsid w:val="00BA7E21"/>
    <w:rsid w:val="00BB3536"/>
    <w:rsid w:val="00BB3F37"/>
    <w:rsid w:val="00BB4479"/>
    <w:rsid w:val="00BC0E70"/>
    <w:rsid w:val="00BC1C90"/>
    <w:rsid w:val="00BC25F7"/>
    <w:rsid w:val="00BC2838"/>
    <w:rsid w:val="00BC42C2"/>
    <w:rsid w:val="00BC4F85"/>
    <w:rsid w:val="00BC726E"/>
    <w:rsid w:val="00BC7357"/>
    <w:rsid w:val="00BD156A"/>
    <w:rsid w:val="00BD15A9"/>
    <w:rsid w:val="00BD2200"/>
    <w:rsid w:val="00BD4B3F"/>
    <w:rsid w:val="00BD76D4"/>
    <w:rsid w:val="00BE0626"/>
    <w:rsid w:val="00BE1B37"/>
    <w:rsid w:val="00BE3533"/>
    <w:rsid w:val="00BE4B98"/>
    <w:rsid w:val="00BE5F52"/>
    <w:rsid w:val="00BE7D2D"/>
    <w:rsid w:val="00BE7DFA"/>
    <w:rsid w:val="00BF04A8"/>
    <w:rsid w:val="00BF33A7"/>
    <w:rsid w:val="00BF396B"/>
    <w:rsid w:val="00BF4CFC"/>
    <w:rsid w:val="00BF5489"/>
    <w:rsid w:val="00BF79D4"/>
    <w:rsid w:val="00C004F7"/>
    <w:rsid w:val="00C00F50"/>
    <w:rsid w:val="00C027D6"/>
    <w:rsid w:val="00C02997"/>
    <w:rsid w:val="00C0360A"/>
    <w:rsid w:val="00C041A4"/>
    <w:rsid w:val="00C04E01"/>
    <w:rsid w:val="00C05EE2"/>
    <w:rsid w:val="00C0641E"/>
    <w:rsid w:val="00C06B8C"/>
    <w:rsid w:val="00C130D6"/>
    <w:rsid w:val="00C13E42"/>
    <w:rsid w:val="00C2132C"/>
    <w:rsid w:val="00C2255A"/>
    <w:rsid w:val="00C235EA"/>
    <w:rsid w:val="00C2475E"/>
    <w:rsid w:val="00C25155"/>
    <w:rsid w:val="00C302CF"/>
    <w:rsid w:val="00C31543"/>
    <w:rsid w:val="00C369E1"/>
    <w:rsid w:val="00C36E12"/>
    <w:rsid w:val="00C45E85"/>
    <w:rsid w:val="00C50B88"/>
    <w:rsid w:val="00C51F92"/>
    <w:rsid w:val="00C52249"/>
    <w:rsid w:val="00C574E7"/>
    <w:rsid w:val="00C62236"/>
    <w:rsid w:val="00C62FEC"/>
    <w:rsid w:val="00C6465D"/>
    <w:rsid w:val="00C657CD"/>
    <w:rsid w:val="00C70907"/>
    <w:rsid w:val="00C70C79"/>
    <w:rsid w:val="00C76AEC"/>
    <w:rsid w:val="00C84F24"/>
    <w:rsid w:val="00C85462"/>
    <w:rsid w:val="00C85F3C"/>
    <w:rsid w:val="00C8708B"/>
    <w:rsid w:val="00C91086"/>
    <w:rsid w:val="00C9169A"/>
    <w:rsid w:val="00C92E0A"/>
    <w:rsid w:val="00C96C79"/>
    <w:rsid w:val="00C96F31"/>
    <w:rsid w:val="00CA0895"/>
    <w:rsid w:val="00CA2172"/>
    <w:rsid w:val="00CB1BC3"/>
    <w:rsid w:val="00CB4C43"/>
    <w:rsid w:val="00CB54FA"/>
    <w:rsid w:val="00CB5AEB"/>
    <w:rsid w:val="00CB61B2"/>
    <w:rsid w:val="00CC0E50"/>
    <w:rsid w:val="00CC14D6"/>
    <w:rsid w:val="00CC1B13"/>
    <w:rsid w:val="00CC3100"/>
    <w:rsid w:val="00CC33EB"/>
    <w:rsid w:val="00CC4BC6"/>
    <w:rsid w:val="00CD01EA"/>
    <w:rsid w:val="00CD16D3"/>
    <w:rsid w:val="00CD3932"/>
    <w:rsid w:val="00CD6A41"/>
    <w:rsid w:val="00CD6FA1"/>
    <w:rsid w:val="00CE151D"/>
    <w:rsid w:val="00CE1D3F"/>
    <w:rsid w:val="00CE300F"/>
    <w:rsid w:val="00CE3E21"/>
    <w:rsid w:val="00CE4E55"/>
    <w:rsid w:val="00CE678C"/>
    <w:rsid w:val="00CE7933"/>
    <w:rsid w:val="00CF1055"/>
    <w:rsid w:val="00CF28D1"/>
    <w:rsid w:val="00CF2E73"/>
    <w:rsid w:val="00CF3141"/>
    <w:rsid w:val="00CF3621"/>
    <w:rsid w:val="00CF5760"/>
    <w:rsid w:val="00CF7612"/>
    <w:rsid w:val="00D03982"/>
    <w:rsid w:val="00D042C8"/>
    <w:rsid w:val="00D056BA"/>
    <w:rsid w:val="00D06C7C"/>
    <w:rsid w:val="00D07A99"/>
    <w:rsid w:val="00D11C98"/>
    <w:rsid w:val="00D147E9"/>
    <w:rsid w:val="00D16016"/>
    <w:rsid w:val="00D17F95"/>
    <w:rsid w:val="00D2192C"/>
    <w:rsid w:val="00D219E3"/>
    <w:rsid w:val="00D23F54"/>
    <w:rsid w:val="00D24349"/>
    <w:rsid w:val="00D2552B"/>
    <w:rsid w:val="00D255A7"/>
    <w:rsid w:val="00D255F3"/>
    <w:rsid w:val="00D27EC4"/>
    <w:rsid w:val="00D3070D"/>
    <w:rsid w:val="00D312B5"/>
    <w:rsid w:val="00D32D8F"/>
    <w:rsid w:val="00D33525"/>
    <w:rsid w:val="00D3617A"/>
    <w:rsid w:val="00D406A1"/>
    <w:rsid w:val="00D4126E"/>
    <w:rsid w:val="00D418C2"/>
    <w:rsid w:val="00D43BF0"/>
    <w:rsid w:val="00D449FC"/>
    <w:rsid w:val="00D45AAC"/>
    <w:rsid w:val="00D45D13"/>
    <w:rsid w:val="00D478F7"/>
    <w:rsid w:val="00D47DCD"/>
    <w:rsid w:val="00D576A7"/>
    <w:rsid w:val="00D57B1A"/>
    <w:rsid w:val="00D57C7B"/>
    <w:rsid w:val="00D57E8E"/>
    <w:rsid w:val="00D60387"/>
    <w:rsid w:val="00D614C0"/>
    <w:rsid w:val="00D61983"/>
    <w:rsid w:val="00D61D1B"/>
    <w:rsid w:val="00D622C4"/>
    <w:rsid w:val="00D66180"/>
    <w:rsid w:val="00D671AE"/>
    <w:rsid w:val="00D71A8B"/>
    <w:rsid w:val="00D721F8"/>
    <w:rsid w:val="00D72ABC"/>
    <w:rsid w:val="00D741ED"/>
    <w:rsid w:val="00D824AE"/>
    <w:rsid w:val="00D861FF"/>
    <w:rsid w:val="00D8790B"/>
    <w:rsid w:val="00D87DAB"/>
    <w:rsid w:val="00D91751"/>
    <w:rsid w:val="00D92FD6"/>
    <w:rsid w:val="00D93120"/>
    <w:rsid w:val="00D9447A"/>
    <w:rsid w:val="00D960CC"/>
    <w:rsid w:val="00D96BCA"/>
    <w:rsid w:val="00D96EF1"/>
    <w:rsid w:val="00D97BBE"/>
    <w:rsid w:val="00DA0262"/>
    <w:rsid w:val="00DA0710"/>
    <w:rsid w:val="00DA1437"/>
    <w:rsid w:val="00DA1C0A"/>
    <w:rsid w:val="00DA3DCF"/>
    <w:rsid w:val="00DA792E"/>
    <w:rsid w:val="00DB2C33"/>
    <w:rsid w:val="00DC006D"/>
    <w:rsid w:val="00DC0981"/>
    <w:rsid w:val="00DC17B8"/>
    <w:rsid w:val="00DC3899"/>
    <w:rsid w:val="00DC4A1F"/>
    <w:rsid w:val="00DC4F92"/>
    <w:rsid w:val="00DC71C7"/>
    <w:rsid w:val="00DC73BC"/>
    <w:rsid w:val="00DC78B9"/>
    <w:rsid w:val="00DC7E0B"/>
    <w:rsid w:val="00DD0292"/>
    <w:rsid w:val="00DD14A6"/>
    <w:rsid w:val="00DD2AE3"/>
    <w:rsid w:val="00DD33D4"/>
    <w:rsid w:val="00DD3F04"/>
    <w:rsid w:val="00DD4620"/>
    <w:rsid w:val="00DD4695"/>
    <w:rsid w:val="00DD6050"/>
    <w:rsid w:val="00DE0882"/>
    <w:rsid w:val="00DE7AFA"/>
    <w:rsid w:val="00DF1600"/>
    <w:rsid w:val="00DF4FAB"/>
    <w:rsid w:val="00DF695B"/>
    <w:rsid w:val="00DF75A2"/>
    <w:rsid w:val="00DF7D0E"/>
    <w:rsid w:val="00E007DC"/>
    <w:rsid w:val="00E01F6D"/>
    <w:rsid w:val="00E02CA3"/>
    <w:rsid w:val="00E04CCA"/>
    <w:rsid w:val="00E05704"/>
    <w:rsid w:val="00E058E3"/>
    <w:rsid w:val="00E10A8B"/>
    <w:rsid w:val="00E10BA7"/>
    <w:rsid w:val="00E10D7B"/>
    <w:rsid w:val="00E124D9"/>
    <w:rsid w:val="00E14C56"/>
    <w:rsid w:val="00E16712"/>
    <w:rsid w:val="00E179B9"/>
    <w:rsid w:val="00E20D5F"/>
    <w:rsid w:val="00E21FD8"/>
    <w:rsid w:val="00E22950"/>
    <w:rsid w:val="00E22A30"/>
    <w:rsid w:val="00E24A00"/>
    <w:rsid w:val="00E24A79"/>
    <w:rsid w:val="00E25302"/>
    <w:rsid w:val="00E26103"/>
    <w:rsid w:val="00E319F1"/>
    <w:rsid w:val="00E31C65"/>
    <w:rsid w:val="00E31EF7"/>
    <w:rsid w:val="00E326DC"/>
    <w:rsid w:val="00E37E19"/>
    <w:rsid w:val="00E4035E"/>
    <w:rsid w:val="00E40B00"/>
    <w:rsid w:val="00E40DF7"/>
    <w:rsid w:val="00E419E9"/>
    <w:rsid w:val="00E41A3F"/>
    <w:rsid w:val="00E42E40"/>
    <w:rsid w:val="00E44A21"/>
    <w:rsid w:val="00E44CEB"/>
    <w:rsid w:val="00E47ADC"/>
    <w:rsid w:val="00E50A31"/>
    <w:rsid w:val="00E55C53"/>
    <w:rsid w:val="00E66EB7"/>
    <w:rsid w:val="00E67BEF"/>
    <w:rsid w:val="00E7264D"/>
    <w:rsid w:val="00E76087"/>
    <w:rsid w:val="00E76561"/>
    <w:rsid w:val="00E802B9"/>
    <w:rsid w:val="00E8454B"/>
    <w:rsid w:val="00E86F1B"/>
    <w:rsid w:val="00E90A1D"/>
    <w:rsid w:val="00E95A37"/>
    <w:rsid w:val="00E96AF6"/>
    <w:rsid w:val="00E9722E"/>
    <w:rsid w:val="00E973D0"/>
    <w:rsid w:val="00EA2E0B"/>
    <w:rsid w:val="00EA4BE1"/>
    <w:rsid w:val="00EB28B3"/>
    <w:rsid w:val="00EB3481"/>
    <w:rsid w:val="00EB419F"/>
    <w:rsid w:val="00EB4AC7"/>
    <w:rsid w:val="00EB68EF"/>
    <w:rsid w:val="00EB7E02"/>
    <w:rsid w:val="00EC267F"/>
    <w:rsid w:val="00EC34C5"/>
    <w:rsid w:val="00EC3793"/>
    <w:rsid w:val="00EC54AA"/>
    <w:rsid w:val="00EC66FC"/>
    <w:rsid w:val="00EC6B0A"/>
    <w:rsid w:val="00EC6EB4"/>
    <w:rsid w:val="00ED15C0"/>
    <w:rsid w:val="00ED1681"/>
    <w:rsid w:val="00ED2071"/>
    <w:rsid w:val="00ED3632"/>
    <w:rsid w:val="00ED3AF4"/>
    <w:rsid w:val="00ED47AF"/>
    <w:rsid w:val="00ED563B"/>
    <w:rsid w:val="00ED6DAD"/>
    <w:rsid w:val="00ED71B2"/>
    <w:rsid w:val="00ED75AF"/>
    <w:rsid w:val="00ED7F36"/>
    <w:rsid w:val="00EE1848"/>
    <w:rsid w:val="00EE3A78"/>
    <w:rsid w:val="00EE5BB2"/>
    <w:rsid w:val="00EF0226"/>
    <w:rsid w:val="00EF1637"/>
    <w:rsid w:val="00EF274B"/>
    <w:rsid w:val="00EF41C7"/>
    <w:rsid w:val="00EF4C7A"/>
    <w:rsid w:val="00EF6192"/>
    <w:rsid w:val="00EF6836"/>
    <w:rsid w:val="00EF7E92"/>
    <w:rsid w:val="00EF7F9E"/>
    <w:rsid w:val="00F00AE9"/>
    <w:rsid w:val="00F01821"/>
    <w:rsid w:val="00F036B0"/>
    <w:rsid w:val="00F05791"/>
    <w:rsid w:val="00F12858"/>
    <w:rsid w:val="00F135C3"/>
    <w:rsid w:val="00F13BFE"/>
    <w:rsid w:val="00F15477"/>
    <w:rsid w:val="00F160A0"/>
    <w:rsid w:val="00F163A1"/>
    <w:rsid w:val="00F1748B"/>
    <w:rsid w:val="00F20088"/>
    <w:rsid w:val="00F2075D"/>
    <w:rsid w:val="00F20B0C"/>
    <w:rsid w:val="00F2155C"/>
    <w:rsid w:val="00F2392D"/>
    <w:rsid w:val="00F23FC8"/>
    <w:rsid w:val="00F25CBB"/>
    <w:rsid w:val="00F27715"/>
    <w:rsid w:val="00F32310"/>
    <w:rsid w:val="00F330E3"/>
    <w:rsid w:val="00F350C6"/>
    <w:rsid w:val="00F360DF"/>
    <w:rsid w:val="00F36CDE"/>
    <w:rsid w:val="00F41F7B"/>
    <w:rsid w:val="00F42D49"/>
    <w:rsid w:val="00F50B3B"/>
    <w:rsid w:val="00F51346"/>
    <w:rsid w:val="00F51C33"/>
    <w:rsid w:val="00F538F1"/>
    <w:rsid w:val="00F5457A"/>
    <w:rsid w:val="00F56544"/>
    <w:rsid w:val="00F57EE2"/>
    <w:rsid w:val="00F60850"/>
    <w:rsid w:val="00F610A5"/>
    <w:rsid w:val="00F64266"/>
    <w:rsid w:val="00F65466"/>
    <w:rsid w:val="00F66231"/>
    <w:rsid w:val="00F67A3C"/>
    <w:rsid w:val="00F706BE"/>
    <w:rsid w:val="00F707BA"/>
    <w:rsid w:val="00F70821"/>
    <w:rsid w:val="00F70B2F"/>
    <w:rsid w:val="00F7477A"/>
    <w:rsid w:val="00F76A72"/>
    <w:rsid w:val="00F77C5D"/>
    <w:rsid w:val="00F813E3"/>
    <w:rsid w:val="00F83554"/>
    <w:rsid w:val="00F83F2E"/>
    <w:rsid w:val="00F84563"/>
    <w:rsid w:val="00F874F5"/>
    <w:rsid w:val="00F90FEB"/>
    <w:rsid w:val="00F92D9A"/>
    <w:rsid w:val="00F9312D"/>
    <w:rsid w:val="00F937D0"/>
    <w:rsid w:val="00F95640"/>
    <w:rsid w:val="00FA168E"/>
    <w:rsid w:val="00FA5DA3"/>
    <w:rsid w:val="00FA60A4"/>
    <w:rsid w:val="00FA6486"/>
    <w:rsid w:val="00FA7D3D"/>
    <w:rsid w:val="00FB5231"/>
    <w:rsid w:val="00FB7B60"/>
    <w:rsid w:val="00FC20B1"/>
    <w:rsid w:val="00FC26F7"/>
    <w:rsid w:val="00FC286C"/>
    <w:rsid w:val="00FC47C8"/>
    <w:rsid w:val="00FC644F"/>
    <w:rsid w:val="00FC6955"/>
    <w:rsid w:val="00FC7B6E"/>
    <w:rsid w:val="00FD747C"/>
    <w:rsid w:val="00FE0E33"/>
    <w:rsid w:val="00FE3687"/>
    <w:rsid w:val="00FE5959"/>
    <w:rsid w:val="00FE6F98"/>
    <w:rsid w:val="00FF24E0"/>
    <w:rsid w:val="00FF313E"/>
    <w:rsid w:val="00FF339B"/>
    <w:rsid w:val="00FF59CF"/>
    <w:rsid w:val="00FF5F88"/>
    <w:rsid w:val="00FF789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Lohit Devanagari"/>
        <w:sz w:val="24"/>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ECB"/>
    <w:pPr>
      <w:spacing w:before="120" w:after="120"/>
    </w:pPr>
    <w:rPr>
      <w:rFonts w:ascii="Arial" w:eastAsia="Times New Roman" w:hAnsi="Arial" w:cs="Arial"/>
      <w:sz w:val="22"/>
      <w:szCs w:val="22"/>
      <w:lang w:bidi="ar-SA"/>
    </w:rPr>
  </w:style>
  <w:style w:type="paragraph" w:styleId="Heading1">
    <w:name w:val="heading 1"/>
    <w:basedOn w:val="Normal"/>
    <w:link w:val="Heading1Char"/>
    <w:uiPriority w:val="9"/>
    <w:qFormat/>
    <w:rsid w:val="001D471D"/>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style>
  <w:style w:type="character" w:customStyle="1" w:styleId="WW8Num2z2">
    <w:name w:val="WW8Num2z2"/>
    <w:qFormat/>
    <w:rPr>
      <w:rFonts w:ascii="Symbol" w:hAnsi="Symbol" w:cs="Symbo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Arial" w:hAnsi="Arial" w:cs="Aria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Arial" w:hAnsi="Arial" w:cs="Arial"/>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color w:val="0070C0"/>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Symbol" w:hAnsi="Symbol" w:cs="Symbo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FooterChar">
    <w:name w:val="Footer Char"/>
    <w:qFormat/>
    <w:rPr>
      <w:rFonts w:ascii="Arial" w:hAnsi="Arial" w:cs="Arial"/>
      <w:sz w:val="22"/>
      <w:szCs w:val="22"/>
    </w:rPr>
  </w:style>
  <w:style w:type="character" w:styleId="CommentReference">
    <w:name w:val="annotation reference"/>
    <w:qFormat/>
    <w:rPr>
      <w:sz w:val="16"/>
      <w:szCs w:val="16"/>
    </w:rPr>
  </w:style>
  <w:style w:type="character" w:customStyle="1" w:styleId="CommentTextChar">
    <w:name w:val="Comment Text Char"/>
    <w:qFormat/>
    <w:rPr>
      <w:rFonts w:ascii="Arial" w:hAnsi="Arial" w:cs="Arial"/>
    </w:rPr>
  </w:style>
  <w:style w:type="character" w:customStyle="1" w:styleId="CommentSubjectChar">
    <w:name w:val="Comment Subject Char"/>
    <w:qFormat/>
    <w:rPr>
      <w:rFonts w:ascii="Arial" w:hAnsi="Arial" w:cs="Arial"/>
      <w:b/>
      <w:bCs/>
    </w:rPr>
  </w:style>
  <w:style w:type="character" w:customStyle="1" w:styleId="BodyText3Char">
    <w:name w:val="Body Text 3 Char"/>
    <w:qFormat/>
    <w:rPr>
      <w:rFonts w:ascii="Tahoma" w:hAnsi="Tahoma" w:cs="Tahoma"/>
      <w:b/>
      <w:bCs/>
      <w:sz w:val="24"/>
      <w:szCs w:val="24"/>
    </w:rPr>
  </w:style>
  <w:style w:type="character" w:customStyle="1" w:styleId="ListParagraphChar">
    <w:name w:val="List Paragraph Char"/>
    <w:aliases w:val="Name Char,NumberedList Char,Colorful List - Accent 11 Char,Bullet 1 Char,Numbered Para 1 Char,Dot pt Char,No Spacing1 Char,List Paragraph Char Char Char Char,Indicator Text Char,List Paragraph1 Char,Bullet Points Char,OBC Bullet Char"/>
    <w:uiPriority w:val="34"/>
    <w:qFormat/>
    <w:rPr>
      <w:rFonts w:ascii="Calibri" w:eastAsia="Calibri" w:hAnsi="Calibri" w:cs="Calibri"/>
      <w:sz w:val="22"/>
      <w:szCs w:val="22"/>
    </w:rPr>
  </w:style>
  <w:style w:type="character" w:customStyle="1" w:styleId="ListLabel1">
    <w:name w:val="ListLabel 1"/>
    <w:qFormat/>
    <w:rPr>
      <w:rFonts w:cs="Symbol"/>
      <w:b/>
    </w:rPr>
  </w:style>
  <w:style w:type="character" w:customStyle="1" w:styleId="ListLabel2">
    <w:name w:val="ListLabel 2"/>
    <w:qFormat/>
    <w:rPr>
      <w:rFonts w:cs="Symbol"/>
    </w:rPr>
  </w:style>
  <w:style w:type="character" w:customStyle="1" w:styleId="ListLabel3">
    <w:name w:val="ListLabel 3"/>
    <w:qFormat/>
    <w:rPr>
      <w:rFonts w:cs="Symbol"/>
    </w:rPr>
  </w:style>
  <w:style w:type="paragraph" w:customStyle="1" w:styleId="Heading">
    <w:name w:val="Heading"/>
    <w:basedOn w:val="Normal"/>
    <w:next w:val="BodyText"/>
    <w:qFormat/>
    <w:pPr>
      <w:keepNext/>
      <w:spacing w:before="240"/>
    </w:pPr>
    <w:rPr>
      <w:rFonts w:ascii="Liberation Sans" w:eastAsia="Noto Sans CJK SC Regular" w:hAnsi="Liberation Sans" w:cs="Lohit Devanagari"/>
      <w:sz w:val="28"/>
      <w:szCs w:val="28"/>
    </w:rPr>
  </w:style>
  <w:style w:type="paragraph" w:styleId="BodyText">
    <w:name w:val="Body Text"/>
    <w:basedOn w:val="Normal"/>
    <w:pPr>
      <w:spacing w:before="0" w:after="140" w:line="276" w:lineRule="auto"/>
    </w:pPr>
  </w:style>
  <w:style w:type="paragraph" w:styleId="List">
    <w:name w:val="List"/>
    <w:basedOn w:val="BodyText"/>
    <w:rPr>
      <w:rFonts w:cs="Lohit Devanagari"/>
    </w:rPr>
  </w:style>
  <w:style w:type="paragraph" w:styleId="Caption">
    <w:name w:val="caption"/>
    <w:basedOn w:val="Normal"/>
    <w:qFormat/>
    <w:pPr>
      <w:suppressLineNumbers/>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qFormat/>
    <w:rPr>
      <w:rFonts w:ascii="Tahoma" w:hAnsi="Tahoma" w:cs="Tahoma"/>
      <w:sz w:val="16"/>
      <w:szCs w:val="16"/>
    </w:rPr>
  </w:style>
  <w:style w:type="paragraph" w:styleId="ListParagraph">
    <w:name w:val="List Paragraph"/>
    <w:aliases w:val="Name,NumberedList,Colorful List - Accent 11,Bullet 1,Numbered Para 1,Dot pt,No Spacing1,List Paragraph Char Char Char,Indicator Text,List Paragraph1,Bullet Points,MAIN CONTENT,F5 List Paragraph,List Paragraph2,List Paragraph12,OBC Bullet"/>
    <w:basedOn w:val="Normal"/>
    <w:uiPriority w:val="34"/>
    <w:qFormat/>
    <w:pPr>
      <w:spacing w:after="200" w:line="276" w:lineRule="auto"/>
      <w:ind w:left="720"/>
      <w:contextualSpacing/>
    </w:pPr>
    <w:rPr>
      <w:rFonts w:ascii="Calibri" w:eastAsia="Calibri" w:hAnsi="Calibri" w:cs="Times New Roman"/>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customStyle="1" w:styleId="Default">
    <w:name w:val="Default"/>
    <w:qFormat/>
    <w:rPr>
      <w:rFonts w:ascii="Calibri" w:eastAsia="Times New Roman" w:hAnsi="Calibri" w:cs="Calibri"/>
      <w:color w:val="000000"/>
      <w:lang w:bidi="ar-SA"/>
    </w:rPr>
  </w:style>
  <w:style w:type="paragraph" w:styleId="BodyText3">
    <w:name w:val="Body Text 3"/>
    <w:basedOn w:val="Normal"/>
    <w:qFormat/>
    <w:pPr>
      <w:spacing w:before="0" w:after="0"/>
      <w:jc w:val="both"/>
    </w:pPr>
    <w:rPr>
      <w:rFonts w:ascii="Tahoma" w:hAnsi="Tahoma" w:cs="Tahoma"/>
      <w:b/>
      <w:bCs/>
      <w:sz w:val="24"/>
      <w:szCs w:val="24"/>
    </w:rPr>
  </w:style>
  <w:style w:type="paragraph" w:styleId="NormalWeb">
    <w:name w:val="Normal (Web)"/>
    <w:basedOn w:val="Normal"/>
    <w:uiPriority w:val="99"/>
    <w:qFormat/>
    <w:pPr>
      <w:spacing w:before="280" w:after="280"/>
    </w:pPr>
    <w:rPr>
      <w:rFonts w:ascii="Times New Roman" w:hAnsi="Times New Roman" w:cs="Times New Roman"/>
      <w:sz w:val="24"/>
      <w:szCs w:val="24"/>
    </w:rPr>
  </w:style>
  <w:style w:type="paragraph" w:styleId="Revision">
    <w:name w:val="Revision"/>
    <w:qFormat/>
    <w:rPr>
      <w:rFonts w:ascii="Arial" w:eastAsia="Times New Roman" w:hAnsi="Arial" w:cs="Arial"/>
      <w:sz w:val="22"/>
      <w:szCs w:val="22"/>
      <w:lang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character" w:styleId="Strong">
    <w:name w:val="Strong"/>
    <w:basedOn w:val="DefaultParagraphFont"/>
    <w:uiPriority w:val="22"/>
    <w:qFormat/>
    <w:rsid w:val="007409EF"/>
    <w:rPr>
      <w:b/>
      <w:bCs/>
    </w:rPr>
  </w:style>
  <w:style w:type="character" w:customStyle="1" w:styleId="Heading1Char">
    <w:name w:val="Heading 1 Char"/>
    <w:basedOn w:val="DefaultParagraphFont"/>
    <w:link w:val="Heading1"/>
    <w:uiPriority w:val="9"/>
    <w:rsid w:val="001D471D"/>
    <w:rPr>
      <w:rFonts w:ascii="Times New Roman" w:eastAsia="Times New Roman" w:hAnsi="Times New Roman" w:cs="Times New Roman"/>
      <w:b/>
      <w:bCs/>
      <w:kern w:val="36"/>
      <w:sz w:val="48"/>
      <w:szCs w:val="48"/>
      <w:lang w:eastAsia="en-GB" w:bidi="ar-SA"/>
    </w:rPr>
  </w:style>
  <w:style w:type="character" w:styleId="Hyperlink">
    <w:name w:val="Hyperlink"/>
    <w:basedOn w:val="DefaultParagraphFont"/>
    <w:uiPriority w:val="99"/>
    <w:unhideWhenUsed/>
    <w:rsid w:val="002E26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Lohit Devanagari"/>
        <w:sz w:val="24"/>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ECB"/>
    <w:pPr>
      <w:spacing w:before="120" w:after="120"/>
    </w:pPr>
    <w:rPr>
      <w:rFonts w:ascii="Arial" w:eastAsia="Times New Roman" w:hAnsi="Arial" w:cs="Arial"/>
      <w:sz w:val="22"/>
      <w:szCs w:val="22"/>
      <w:lang w:bidi="ar-SA"/>
    </w:rPr>
  </w:style>
  <w:style w:type="paragraph" w:styleId="Heading1">
    <w:name w:val="heading 1"/>
    <w:basedOn w:val="Normal"/>
    <w:link w:val="Heading1Char"/>
    <w:uiPriority w:val="9"/>
    <w:qFormat/>
    <w:rsid w:val="001D471D"/>
    <w:pPr>
      <w:spacing w:before="100" w:beforeAutospacing="1" w:after="100" w:afterAutospacing="1"/>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style>
  <w:style w:type="character" w:customStyle="1" w:styleId="WW8Num2z2">
    <w:name w:val="WW8Num2z2"/>
    <w:qFormat/>
    <w:rPr>
      <w:rFonts w:ascii="Symbol" w:hAnsi="Symbol" w:cs="Symbo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Arial" w:hAnsi="Arial" w:cs="Aria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Arial" w:hAnsi="Arial" w:cs="Arial"/>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color w:val="0070C0"/>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rPr>
      <w:rFonts w:ascii="Symbol" w:hAnsi="Symbol" w:cs="Symbol"/>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rPr>
      <w:rFonts w:ascii="Symbol" w:hAnsi="Symbol" w:cs="Symbol"/>
    </w:rPr>
  </w:style>
  <w:style w:type="character" w:customStyle="1" w:styleId="WW8Num28z1">
    <w:name w:val="WW8Num28z1"/>
    <w:qFormat/>
    <w:rPr>
      <w:rFonts w:ascii="Courier New" w:hAnsi="Courier New" w:cs="Courier New"/>
    </w:rPr>
  </w:style>
  <w:style w:type="character" w:customStyle="1" w:styleId="WW8Num28z2">
    <w:name w:val="WW8Num28z2"/>
    <w:qFormat/>
    <w:rPr>
      <w:rFonts w:ascii="Wingdings" w:hAnsi="Wingdings" w:cs="Wingdings"/>
    </w:rPr>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Symbol" w:hAnsi="Symbol" w:cs="Symbo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FooterChar">
    <w:name w:val="Footer Char"/>
    <w:qFormat/>
    <w:rPr>
      <w:rFonts w:ascii="Arial" w:hAnsi="Arial" w:cs="Arial"/>
      <w:sz w:val="22"/>
      <w:szCs w:val="22"/>
    </w:rPr>
  </w:style>
  <w:style w:type="character" w:styleId="CommentReference">
    <w:name w:val="annotation reference"/>
    <w:qFormat/>
    <w:rPr>
      <w:sz w:val="16"/>
      <w:szCs w:val="16"/>
    </w:rPr>
  </w:style>
  <w:style w:type="character" w:customStyle="1" w:styleId="CommentTextChar">
    <w:name w:val="Comment Text Char"/>
    <w:qFormat/>
    <w:rPr>
      <w:rFonts w:ascii="Arial" w:hAnsi="Arial" w:cs="Arial"/>
    </w:rPr>
  </w:style>
  <w:style w:type="character" w:customStyle="1" w:styleId="CommentSubjectChar">
    <w:name w:val="Comment Subject Char"/>
    <w:qFormat/>
    <w:rPr>
      <w:rFonts w:ascii="Arial" w:hAnsi="Arial" w:cs="Arial"/>
      <w:b/>
      <w:bCs/>
    </w:rPr>
  </w:style>
  <w:style w:type="character" w:customStyle="1" w:styleId="BodyText3Char">
    <w:name w:val="Body Text 3 Char"/>
    <w:qFormat/>
    <w:rPr>
      <w:rFonts w:ascii="Tahoma" w:hAnsi="Tahoma" w:cs="Tahoma"/>
      <w:b/>
      <w:bCs/>
      <w:sz w:val="24"/>
      <w:szCs w:val="24"/>
    </w:rPr>
  </w:style>
  <w:style w:type="character" w:customStyle="1" w:styleId="ListParagraphChar">
    <w:name w:val="List Paragraph Char"/>
    <w:aliases w:val="Name Char,NumberedList Char,Colorful List - Accent 11 Char,Bullet 1 Char,Numbered Para 1 Char,Dot pt Char,No Spacing1 Char,List Paragraph Char Char Char Char,Indicator Text Char,List Paragraph1 Char,Bullet Points Char,OBC Bullet Char"/>
    <w:uiPriority w:val="34"/>
    <w:qFormat/>
    <w:rPr>
      <w:rFonts w:ascii="Calibri" w:eastAsia="Calibri" w:hAnsi="Calibri" w:cs="Calibri"/>
      <w:sz w:val="22"/>
      <w:szCs w:val="22"/>
    </w:rPr>
  </w:style>
  <w:style w:type="character" w:customStyle="1" w:styleId="ListLabel1">
    <w:name w:val="ListLabel 1"/>
    <w:qFormat/>
    <w:rPr>
      <w:rFonts w:cs="Symbol"/>
      <w:b/>
    </w:rPr>
  </w:style>
  <w:style w:type="character" w:customStyle="1" w:styleId="ListLabel2">
    <w:name w:val="ListLabel 2"/>
    <w:qFormat/>
    <w:rPr>
      <w:rFonts w:cs="Symbol"/>
    </w:rPr>
  </w:style>
  <w:style w:type="character" w:customStyle="1" w:styleId="ListLabel3">
    <w:name w:val="ListLabel 3"/>
    <w:qFormat/>
    <w:rPr>
      <w:rFonts w:cs="Symbol"/>
    </w:rPr>
  </w:style>
  <w:style w:type="paragraph" w:customStyle="1" w:styleId="Heading">
    <w:name w:val="Heading"/>
    <w:basedOn w:val="Normal"/>
    <w:next w:val="BodyText"/>
    <w:qFormat/>
    <w:pPr>
      <w:keepNext/>
      <w:spacing w:before="240"/>
    </w:pPr>
    <w:rPr>
      <w:rFonts w:ascii="Liberation Sans" w:eastAsia="Noto Sans CJK SC Regular" w:hAnsi="Liberation Sans" w:cs="Lohit Devanagari"/>
      <w:sz w:val="28"/>
      <w:szCs w:val="28"/>
    </w:rPr>
  </w:style>
  <w:style w:type="paragraph" w:styleId="BodyText">
    <w:name w:val="Body Text"/>
    <w:basedOn w:val="Normal"/>
    <w:pPr>
      <w:spacing w:before="0" w:after="140" w:line="276" w:lineRule="auto"/>
    </w:pPr>
  </w:style>
  <w:style w:type="paragraph" w:styleId="List">
    <w:name w:val="List"/>
    <w:basedOn w:val="BodyText"/>
    <w:rPr>
      <w:rFonts w:cs="Lohit Devanagari"/>
    </w:rPr>
  </w:style>
  <w:style w:type="paragraph" w:styleId="Caption">
    <w:name w:val="caption"/>
    <w:basedOn w:val="Normal"/>
    <w:qFormat/>
    <w:pPr>
      <w:suppressLineNumbers/>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qFormat/>
    <w:rPr>
      <w:rFonts w:ascii="Tahoma" w:hAnsi="Tahoma" w:cs="Tahoma"/>
      <w:sz w:val="16"/>
      <w:szCs w:val="16"/>
    </w:rPr>
  </w:style>
  <w:style w:type="paragraph" w:styleId="ListParagraph">
    <w:name w:val="List Paragraph"/>
    <w:aliases w:val="Name,NumberedList,Colorful List - Accent 11,Bullet 1,Numbered Para 1,Dot pt,No Spacing1,List Paragraph Char Char Char,Indicator Text,List Paragraph1,Bullet Points,MAIN CONTENT,F5 List Paragraph,List Paragraph2,List Paragraph12,OBC Bullet"/>
    <w:basedOn w:val="Normal"/>
    <w:uiPriority w:val="34"/>
    <w:qFormat/>
    <w:pPr>
      <w:spacing w:after="200" w:line="276" w:lineRule="auto"/>
      <w:ind w:left="720"/>
      <w:contextualSpacing/>
    </w:pPr>
    <w:rPr>
      <w:rFonts w:ascii="Calibri" w:eastAsia="Calibri" w:hAnsi="Calibri" w:cs="Times New Roman"/>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customStyle="1" w:styleId="Default">
    <w:name w:val="Default"/>
    <w:qFormat/>
    <w:rPr>
      <w:rFonts w:ascii="Calibri" w:eastAsia="Times New Roman" w:hAnsi="Calibri" w:cs="Calibri"/>
      <w:color w:val="000000"/>
      <w:lang w:bidi="ar-SA"/>
    </w:rPr>
  </w:style>
  <w:style w:type="paragraph" w:styleId="BodyText3">
    <w:name w:val="Body Text 3"/>
    <w:basedOn w:val="Normal"/>
    <w:qFormat/>
    <w:pPr>
      <w:spacing w:before="0" w:after="0"/>
      <w:jc w:val="both"/>
    </w:pPr>
    <w:rPr>
      <w:rFonts w:ascii="Tahoma" w:hAnsi="Tahoma" w:cs="Tahoma"/>
      <w:b/>
      <w:bCs/>
      <w:sz w:val="24"/>
      <w:szCs w:val="24"/>
    </w:rPr>
  </w:style>
  <w:style w:type="paragraph" w:styleId="NormalWeb">
    <w:name w:val="Normal (Web)"/>
    <w:basedOn w:val="Normal"/>
    <w:uiPriority w:val="99"/>
    <w:qFormat/>
    <w:pPr>
      <w:spacing w:before="280" w:after="280"/>
    </w:pPr>
    <w:rPr>
      <w:rFonts w:ascii="Times New Roman" w:hAnsi="Times New Roman" w:cs="Times New Roman"/>
      <w:sz w:val="24"/>
      <w:szCs w:val="24"/>
    </w:rPr>
  </w:style>
  <w:style w:type="paragraph" w:styleId="Revision">
    <w:name w:val="Revision"/>
    <w:qFormat/>
    <w:rPr>
      <w:rFonts w:ascii="Arial" w:eastAsia="Times New Roman" w:hAnsi="Arial" w:cs="Arial"/>
      <w:sz w:val="22"/>
      <w:szCs w:val="22"/>
      <w:lang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character" w:styleId="Strong">
    <w:name w:val="Strong"/>
    <w:basedOn w:val="DefaultParagraphFont"/>
    <w:uiPriority w:val="22"/>
    <w:qFormat/>
    <w:rsid w:val="007409EF"/>
    <w:rPr>
      <w:b/>
      <w:bCs/>
    </w:rPr>
  </w:style>
  <w:style w:type="character" w:customStyle="1" w:styleId="Heading1Char">
    <w:name w:val="Heading 1 Char"/>
    <w:basedOn w:val="DefaultParagraphFont"/>
    <w:link w:val="Heading1"/>
    <w:uiPriority w:val="9"/>
    <w:rsid w:val="001D471D"/>
    <w:rPr>
      <w:rFonts w:ascii="Times New Roman" w:eastAsia="Times New Roman" w:hAnsi="Times New Roman" w:cs="Times New Roman"/>
      <w:b/>
      <w:bCs/>
      <w:kern w:val="36"/>
      <w:sz w:val="48"/>
      <w:szCs w:val="48"/>
      <w:lang w:eastAsia="en-GB" w:bidi="ar-SA"/>
    </w:rPr>
  </w:style>
  <w:style w:type="character" w:styleId="Hyperlink">
    <w:name w:val="Hyperlink"/>
    <w:basedOn w:val="DefaultParagraphFont"/>
    <w:uiPriority w:val="99"/>
    <w:unhideWhenUsed/>
    <w:rsid w:val="002E26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462284">
      <w:bodyDiv w:val="1"/>
      <w:marLeft w:val="0"/>
      <w:marRight w:val="0"/>
      <w:marTop w:val="0"/>
      <w:marBottom w:val="0"/>
      <w:divBdr>
        <w:top w:val="none" w:sz="0" w:space="0" w:color="auto"/>
        <w:left w:val="none" w:sz="0" w:space="0" w:color="auto"/>
        <w:bottom w:val="none" w:sz="0" w:space="0" w:color="auto"/>
        <w:right w:val="none" w:sz="0" w:space="0" w:color="auto"/>
      </w:divBdr>
    </w:div>
    <w:div w:id="782387479">
      <w:bodyDiv w:val="1"/>
      <w:marLeft w:val="0"/>
      <w:marRight w:val="0"/>
      <w:marTop w:val="0"/>
      <w:marBottom w:val="0"/>
      <w:divBdr>
        <w:top w:val="none" w:sz="0" w:space="0" w:color="auto"/>
        <w:left w:val="none" w:sz="0" w:space="0" w:color="auto"/>
        <w:bottom w:val="none" w:sz="0" w:space="0" w:color="auto"/>
        <w:right w:val="none" w:sz="0" w:space="0" w:color="auto"/>
      </w:divBdr>
    </w:div>
    <w:div w:id="866062013">
      <w:bodyDiv w:val="1"/>
      <w:marLeft w:val="0"/>
      <w:marRight w:val="0"/>
      <w:marTop w:val="0"/>
      <w:marBottom w:val="0"/>
      <w:divBdr>
        <w:top w:val="none" w:sz="0" w:space="0" w:color="auto"/>
        <w:left w:val="none" w:sz="0" w:space="0" w:color="auto"/>
        <w:bottom w:val="none" w:sz="0" w:space="0" w:color="auto"/>
        <w:right w:val="none" w:sz="0" w:space="0" w:color="auto"/>
      </w:divBdr>
    </w:div>
    <w:div w:id="1177499438">
      <w:bodyDiv w:val="1"/>
      <w:marLeft w:val="0"/>
      <w:marRight w:val="0"/>
      <w:marTop w:val="0"/>
      <w:marBottom w:val="0"/>
      <w:divBdr>
        <w:top w:val="none" w:sz="0" w:space="0" w:color="auto"/>
        <w:left w:val="none" w:sz="0" w:space="0" w:color="auto"/>
        <w:bottom w:val="none" w:sz="0" w:space="0" w:color="auto"/>
        <w:right w:val="none" w:sz="0" w:space="0" w:color="auto"/>
      </w:divBdr>
    </w:div>
    <w:div w:id="1618871770">
      <w:bodyDiv w:val="1"/>
      <w:marLeft w:val="0"/>
      <w:marRight w:val="0"/>
      <w:marTop w:val="0"/>
      <w:marBottom w:val="0"/>
      <w:divBdr>
        <w:top w:val="none" w:sz="0" w:space="0" w:color="auto"/>
        <w:left w:val="none" w:sz="0" w:space="0" w:color="auto"/>
        <w:bottom w:val="none" w:sz="0" w:space="0" w:color="auto"/>
        <w:right w:val="none" w:sz="0" w:space="0" w:color="auto"/>
      </w:divBdr>
      <w:divsChild>
        <w:div w:id="1001659276">
          <w:marLeft w:val="0"/>
          <w:marRight w:val="0"/>
          <w:marTop w:val="0"/>
          <w:marBottom w:val="0"/>
          <w:divBdr>
            <w:top w:val="none" w:sz="0" w:space="0" w:color="auto"/>
            <w:left w:val="none" w:sz="0" w:space="0" w:color="auto"/>
            <w:bottom w:val="none" w:sz="0" w:space="0" w:color="auto"/>
            <w:right w:val="none" w:sz="0" w:space="0" w:color="auto"/>
          </w:divBdr>
        </w:div>
      </w:divsChild>
    </w:div>
    <w:div w:id="1637684731">
      <w:bodyDiv w:val="1"/>
      <w:marLeft w:val="0"/>
      <w:marRight w:val="0"/>
      <w:marTop w:val="0"/>
      <w:marBottom w:val="0"/>
      <w:divBdr>
        <w:top w:val="none" w:sz="0" w:space="0" w:color="auto"/>
        <w:left w:val="none" w:sz="0" w:space="0" w:color="auto"/>
        <w:bottom w:val="none" w:sz="0" w:space="0" w:color="auto"/>
        <w:right w:val="none" w:sz="0" w:space="0" w:color="auto"/>
      </w:divBdr>
    </w:div>
    <w:div w:id="2062901842">
      <w:bodyDiv w:val="1"/>
      <w:marLeft w:val="0"/>
      <w:marRight w:val="0"/>
      <w:marTop w:val="0"/>
      <w:marBottom w:val="0"/>
      <w:divBdr>
        <w:top w:val="none" w:sz="0" w:space="0" w:color="auto"/>
        <w:left w:val="none" w:sz="0" w:space="0" w:color="auto"/>
        <w:bottom w:val="none" w:sz="0" w:space="0" w:color="auto"/>
        <w:right w:val="none" w:sz="0" w:space="0" w:color="auto"/>
      </w:divBdr>
    </w:div>
    <w:div w:id="2098398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419A5-3542-415B-91A9-65B6E2562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3402</Words>
  <Characters>19396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North Bristol NHS Trust</vt:lpstr>
    </vt:vector>
  </TitlesOfParts>
  <Company>NBT</Company>
  <LinksUpToDate>false</LinksUpToDate>
  <CharactersWithSpaces>22753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Bristol NHS Trust</dc:title>
  <dc:creator>Administrator</dc:creator>
  <cp:lastModifiedBy>Isobel Clements</cp:lastModifiedBy>
  <cp:revision>7</cp:revision>
  <cp:lastPrinted>2019-10-04T14:14:00Z</cp:lastPrinted>
  <dcterms:created xsi:type="dcterms:W3CDTF">2020-10-08T10:51:00Z</dcterms:created>
  <dcterms:modified xsi:type="dcterms:W3CDTF">2020-11-27T12:37:00Z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-56575520</vt:i4>
  </property>
</Properties>
</file>