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AC06" w14:textId="77777777" w:rsidR="00A00A70" w:rsidRDefault="00A00A70" w:rsidP="00A00A70">
      <w:pPr>
        <w:jc w:val="center"/>
        <w:rPr>
          <w:rFonts w:ascii="Arial" w:hAnsi="Arial" w:cs="Arial"/>
          <w:b/>
        </w:rPr>
      </w:pPr>
      <w:r w:rsidRPr="00ED1AF3">
        <w:rPr>
          <w:rFonts w:ascii="Arial" w:hAnsi="Arial" w:cs="Arial"/>
          <w:b/>
          <w:sz w:val="28"/>
          <w:szCs w:val="28"/>
        </w:rPr>
        <w:t>Bristol M.E. Service</w:t>
      </w:r>
      <w:r w:rsidRPr="00ED1AF3">
        <w:rPr>
          <w:rFonts w:ascii="Arial" w:hAnsi="Arial" w:cs="Arial"/>
          <w:b/>
        </w:rPr>
        <w:t xml:space="preserve"> </w:t>
      </w:r>
    </w:p>
    <w:p w14:paraId="46C6003A" w14:textId="77777777" w:rsidR="00007CF5" w:rsidRDefault="00A00A70" w:rsidP="00A00A70">
      <w:pPr>
        <w:jc w:val="center"/>
        <w:rPr>
          <w:rFonts w:ascii="Arial" w:hAnsi="Arial" w:cs="Arial"/>
          <w:i/>
          <w:sz w:val="22"/>
          <w:szCs w:val="22"/>
        </w:rPr>
      </w:pPr>
      <w:r w:rsidRPr="00007CF5">
        <w:rPr>
          <w:rFonts w:ascii="Arial" w:hAnsi="Arial" w:cs="Arial"/>
          <w:i/>
          <w:sz w:val="22"/>
          <w:szCs w:val="22"/>
        </w:rPr>
        <w:t xml:space="preserve">Supporting people with M.E./CFS and PVFS across </w:t>
      </w:r>
    </w:p>
    <w:p w14:paraId="77C91CFF" w14:textId="5A09D890" w:rsidR="00A00A70" w:rsidRPr="00007CF5" w:rsidRDefault="00A00A70" w:rsidP="00A00A70">
      <w:pPr>
        <w:jc w:val="center"/>
        <w:rPr>
          <w:rFonts w:ascii="Arial" w:hAnsi="Arial" w:cs="Arial"/>
          <w:sz w:val="22"/>
          <w:szCs w:val="22"/>
        </w:rPr>
      </w:pPr>
      <w:r w:rsidRPr="00007CF5">
        <w:rPr>
          <w:rFonts w:ascii="Arial" w:hAnsi="Arial" w:cs="Arial"/>
          <w:i/>
          <w:sz w:val="22"/>
          <w:szCs w:val="22"/>
        </w:rPr>
        <w:t xml:space="preserve">Gloucestershire, </w:t>
      </w:r>
      <w:proofErr w:type="gramStart"/>
      <w:r w:rsidRPr="00007CF5">
        <w:rPr>
          <w:rFonts w:ascii="Arial" w:hAnsi="Arial" w:cs="Arial"/>
          <w:i/>
          <w:sz w:val="22"/>
          <w:szCs w:val="22"/>
        </w:rPr>
        <w:t>Bristol</w:t>
      </w:r>
      <w:proofErr w:type="gramEnd"/>
      <w:r w:rsidRPr="00007CF5">
        <w:rPr>
          <w:rFonts w:ascii="Arial" w:hAnsi="Arial" w:cs="Arial"/>
          <w:i/>
          <w:sz w:val="22"/>
          <w:szCs w:val="22"/>
        </w:rPr>
        <w:t xml:space="preserve"> and North Somerset</w:t>
      </w:r>
    </w:p>
    <w:p w14:paraId="796A5307" w14:textId="77777777" w:rsidR="00A00A70" w:rsidRPr="005062A1" w:rsidRDefault="00A00A70" w:rsidP="00A00A70">
      <w:pPr>
        <w:jc w:val="center"/>
        <w:rPr>
          <w:rFonts w:ascii="Arial" w:hAnsi="Arial" w:cs="Arial"/>
          <w:sz w:val="22"/>
          <w:szCs w:val="22"/>
        </w:rPr>
      </w:pPr>
      <w:r w:rsidRPr="005062A1">
        <w:rPr>
          <w:rFonts w:ascii="Arial" w:hAnsi="Arial" w:cs="Arial"/>
          <w:sz w:val="22"/>
          <w:szCs w:val="22"/>
        </w:rPr>
        <w:t>The Lodge, Cossham Memorial Hospital, Lodge Road, Kingswood, Bristol BS15 1LF</w:t>
      </w:r>
    </w:p>
    <w:p w14:paraId="7F001F10" w14:textId="77777777" w:rsidR="00A00A70" w:rsidRPr="005062A1" w:rsidRDefault="00A00A70" w:rsidP="00A00A70">
      <w:pPr>
        <w:jc w:val="center"/>
        <w:rPr>
          <w:rFonts w:ascii="Arial" w:hAnsi="Arial" w:cs="Arial"/>
          <w:sz w:val="22"/>
          <w:szCs w:val="22"/>
        </w:rPr>
      </w:pPr>
      <w:r w:rsidRPr="005062A1">
        <w:rPr>
          <w:rFonts w:ascii="Arial" w:hAnsi="Arial" w:cs="Arial"/>
          <w:sz w:val="22"/>
          <w:szCs w:val="22"/>
        </w:rPr>
        <w:t xml:space="preserve">Tel No. 0117 </w:t>
      </w:r>
      <w:r>
        <w:rPr>
          <w:rFonts w:ascii="Arial" w:hAnsi="Arial" w:cs="Arial"/>
          <w:sz w:val="22"/>
          <w:szCs w:val="22"/>
        </w:rPr>
        <w:t xml:space="preserve">414 5192   </w:t>
      </w:r>
      <w:r>
        <w:rPr>
          <w:rFonts w:ascii="Arial" w:hAnsi="Arial" w:cs="Arial"/>
          <w:sz w:val="22"/>
          <w:szCs w:val="22"/>
        </w:rPr>
        <w:tab/>
      </w:r>
      <w:r w:rsidRPr="005062A1">
        <w:rPr>
          <w:rFonts w:ascii="Arial" w:hAnsi="Arial" w:cs="Arial"/>
          <w:sz w:val="22"/>
          <w:szCs w:val="22"/>
        </w:rPr>
        <w:t xml:space="preserve"> Email </w:t>
      </w:r>
      <w:hyperlink r:id="rId7" w:history="1">
        <w:r w:rsidRPr="005062A1">
          <w:rPr>
            <w:rStyle w:val="Hyperlink"/>
            <w:rFonts w:ascii="Arial" w:hAnsi="Arial" w:cs="Arial"/>
            <w:sz w:val="22"/>
            <w:szCs w:val="22"/>
          </w:rPr>
          <w:t>BristolME</w:t>
        </w:r>
        <w:r w:rsidRPr="005062A1">
          <w:rPr>
            <w:rStyle w:val="Hyperlink"/>
            <w:rFonts w:ascii="Arial" w:hAnsi="Arial" w:cs="Arial"/>
            <w:b/>
            <w:sz w:val="22"/>
            <w:szCs w:val="22"/>
          </w:rPr>
          <w:t>@</w:t>
        </w:r>
        <w:r w:rsidRPr="005062A1">
          <w:rPr>
            <w:rStyle w:val="Hyperlink"/>
            <w:rFonts w:ascii="Arial" w:hAnsi="Arial" w:cs="Arial"/>
            <w:sz w:val="22"/>
            <w:szCs w:val="22"/>
          </w:rPr>
          <w:t>nbt.nhs.uk</w:t>
        </w:r>
      </w:hyperlink>
    </w:p>
    <w:p w14:paraId="42B49BD4" w14:textId="77777777" w:rsidR="00B35EDB" w:rsidRPr="0092694B" w:rsidRDefault="00B35EDB">
      <w:pPr>
        <w:tabs>
          <w:tab w:val="right" w:pos="9027"/>
        </w:tabs>
        <w:jc w:val="center"/>
        <w:rPr>
          <w:rFonts w:ascii="Arial" w:hAnsi="Arial" w:cs="Arial"/>
        </w:rPr>
      </w:pPr>
      <w:r w:rsidRPr="0092694B">
        <w:rPr>
          <w:rFonts w:ascii="Arial" w:hAnsi="Arial" w:cs="Arial"/>
        </w:rPr>
        <w:t xml:space="preserve">Team leader: </w:t>
      </w:r>
      <w:r w:rsidR="00BB79F8" w:rsidRPr="0092694B">
        <w:rPr>
          <w:rFonts w:ascii="Arial" w:hAnsi="Arial" w:cs="Arial"/>
        </w:rPr>
        <w:t>Peter Gladwell, Clinical Specialist Physiotherapist</w:t>
      </w:r>
    </w:p>
    <w:p w14:paraId="25CAE6F7" w14:textId="77777777" w:rsidR="00B35EDB" w:rsidRDefault="00B35EDB">
      <w:pPr>
        <w:rPr>
          <w:rFonts w:ascii="Arial" w:hAnsi="Arial" w:cs="Arial"/>
        </w:rPr>
      </w:pPr>
    </w:p>
    <w:p w14:paraId="740B4820" w14:textId="77777777" w:rsidR="00B35EDB" w:rsidRDefault="00EB70D2" w:rsidP="00EB70D2">
      <w:pPr>
        <w:pStyle w:val="ReferenceLine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70D2">
        <w:rPr>
          <w:rFonts w:ascii="Arial" w:hAnsi="Arial" w:cs="Arial"/>
          <w:b/>
          <w:sz w:val="28"/>
          <w:szCs w:val="28"/>
        </w:rPr>
        <w:t>Referral criteria</w:t>
      </w:r>
    </w:p>
    <w:p w14:paraId="6FDAEEE1" w14:textId="77777777" w:rsidR="00B35EDB" w:rsidRDefault="00B35EDB">
      <w:pPr>
        <w:pStyle w:val="BodyText2"/>
        <w:rPr>
          <w:rFonts w:cs="Arial"/>
        </w:rPr>
      </w:pPr>
      <w:r>
        <w:rPr>
          <w:rFonts w:cs="Arial"/>
        </w:rPr>
        <w:t>These are the re</w:t>
      </w:r>
      <w:r w:rsidR="006536F4">
        <w:rPr>
          <w:rFonts w:cs="Arial"/>
        </w:rPr>
        <w:t>ferral criteria for the Bristol</w:t>
      </w:r>
      <w:r>
        <w:rPr>
          <w:rFonts w:cs="Arial"/>
        </w:rPr>
        <w:t xml:space="preserve"> M</w:t>
      </w:r>
      <w:r w:rsidR="00F630F3">
        <w:rPr>
          <w:rFonts w:cs="Arial"/>
        </w:rPr>
        <w:t>.</w:t>
      </w:r>
      <w:r>
        <w:rPr>
          <w:rFonts w:cs="Arial"/>
        </w:rPr>
        <w:t>E</w:t>
      </w:r>
      <w:r w:rsidR="00F630F3">
        <w:rPr>
          <w:rFonts w:cs="Arial"/>
        </w:rPr>
        <w:t>.</w:t>
      </w:r>
      <w:r>
        <w:rPr>
          <w:rFonts w:cs="Arial"/>
        </w:rPr>
        <w:t xml:space="preserve"> Service, which is a multidisciplinary service covering Bristol</w:t>
      </w:r>
      <w:r w:rsidR="00EB70D2">
        <w:rPr>
          <w:rFonts w:cs="Arial"/>
        </w:rPr>
        <w:t xml:space="preserve">, North </w:t>
      </w:r>
      <w:proofErr w:type="gramStart"/>
      <w:r w:rsidR="00EB70D2">
        <w:rPr>
          <w:rFonts w:cs="Arial"/>
        </w:rPr>
        <w:t>Somerset</w:t>
      </w:r>
      <w:proofErr w:type="gramEnd"/>
      <w:r>
        <w:rPr>
          <w:rFonts w:cs="Arial"/>
        </w:rPr>
        <w:t xml:space="preserve"> and Gloucestershire.</w:t>
      </w:r>
      <w:r w:rsidR="00EB70D2">
        <w:rPr>
          <w:rFonts w:cs="Arial"/>
        </w:rPr>
        <w:t xml:space="preserve"> The team consists of </w:t>
      </w:r>
      <w:r>
        <w:rPr>
          <w:rFonts w:cs="Arial"/>
        </w:rPr>
        <w:t>specialist</w:t>
      </w:r>
      <w:r w:rsidR="00EB70D2">
        <w:rPr>
          <w:rFonts w:cs="Arial"/>
        </w:rPr>
        <w:t xml:space="preserve">s including </w:t>
      </w:r>
      <w:r>
        <w:rPr>
          <w:rFonts w:cs="Arial"/>
        </w:rPr>
        <w:t>Occupational Therapist</w:t>
      </w:r>
      <w:r w:rsidR="00FA67C5">
        <w:rPr>
          <w:rFonts w:cs="Arial"/>
        </w:rPr>
        <w:t>s,</w:t>
      </w:r>
      <w:r>
        <w:rPr>
          <w:rFonts w:cs="Arial"/>
        </w:rPr>
        <w:t xml:space="preserve"> Physiotherapist</w:t>
      </w:r>
      <w:r w:rsidR="00FA67C5">
        <w:rPr>
          <w:rFonts w:cs="Arial"/>
        </w:rPr>
        <w:t>s and Psychological therapists, all of whom are experienced in supporting people with persistent health problems</w:t>
      </w:r>
      <w:r>
        <w:rPr>
          <w:rFonts w:cs="Arial"/>
        </w:rPr>
        <w:t xml:space="preserve">. </w:t>
      </w:r>
    </w:p>
    <w:p w14:paraId="3D0B264C" w14:textId="77777777" w:rsidR="00B35EDB" w:rsidRDefault="00B35EDB">
      <w:pPr>
        <w:jc w:val="both"/>
        <w:rPr>
          <w:rFonts w:ascii="Arial" w:hAnsi="Arial" w:cs="Arial"/>
        </w:rPr>
      </w:pPr>
    </w:p>
    <w:p w14:paraId="6FC9157C" w14:textId="77777777" w:rsidR="00B35EDB" w:rsidRDefault="00B3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Patients should meet the </w:t>
      </w:r>
      <w:r w:rsidR="00D618EE">
        <w:rPr>
          <w:rFonts w:ascii="Arial" w:hAnsi="Arial" w:cs="Arial"/>
        </w:rPr>
        <w:t>NICE 2021 Guideline</w:t>
      </w:r>
      <w:r>
        <w:rPr>
          <w:rFonts w:ascii="Arial" w:hAnsi="Arial" w:cs="Arial"/>
        </w:rPr>
        <w:t xml:space="preserve"> criteria for the diagnosis of M</w:t>
      </w:r>
      <w:r w:rsidR="00A00A70">
        <w:rPr>
          <w:rFonts w:ascii="Arial" w:hAnsi="Arial" w:cs="Arial"/>
        </w:rPr>
        <w:t>.</w:t>
      </w:r>
      <w:r>
        <w:rPr>
          <w:rFonts w:ascii="Arial" w:hAnsi="Arial" w:cs="Arial"/>
        </w:rPr>
        <w:t>E</w:t>
      </w:r>
      <w:r w:rsidR="00A00A70">
        <w:rPr>
          <w:rFonts w:ascii="Arial" w:hAnsi="Arial" w:cs="Arial"/>
        </w:rPr>
        <w:t>./CFS</w:t>
      </w:r>
      <w:r w:rsidR="00D618EE">
        <w:rPr>
          <w:rFonts w:ascii="Arial" w:hAnsi="Arial" w:cs="Arial"/>
        </w:rPr>
        <w:t>.</w:t>
      </w:r>
    </w:p>
    <w:p w14:paraId="104A3B1F" w14:textId="77777777" w:rsidR="00D618EE" w:rsidRPr="00D618EE" w:rsidRDefault="00D618EE" w:rsidP="00D618EE">
      <w:pPr>
        <w:jc w:val="both"/>
        <w:rPr>
          <w:rFonts w:ascii="Arial" w:hAnsi="Arial" w:cs="Arial"/>
        </w:rPr>
      </w:pPr>
      <w:proofErr w:type="gramStart"/>
      <w:r w:rsidRPr="00D618EE">
        <w:rPr>
          <w:rFonts w:ascii="Arial" w:hAnsi="Arial" w:cs="Arial"/>
        </w:rPr>
        <w:t>All of</w:t>
      </w:r>
      <w:proofErr w:type="gramEnd"/>
      <w:r w:rsidRPr="00D618EE">
        <w:rPr>
          <w:rFonts w:ascii="Arial" w:hAnsi="Arial" w:cs="Arial"/>
        </w:rPr>
        <w:t xml:space="preserve"> these symptoms should be present:</w:t>
      </w:r>
    </w:p>
    <w:p w14:paraId="0ACADE85" w14:textId="77777777" w:rsidR="00D618EE" w:rsidRPr="00D618EE" w:rsidRDefault="00D618EE" w:rsidP="00D618EE">
      <w:pPr>
        <w:jc w:val="both"/>
        <w:rPr>
          <w:rFonts w:ascii="Arial" w:hAnsi="Arial" w:cs="Arial"/>
        </w:rPr>
      </w:pPr>
    </w:p>
    <w:p w14:paraId="23C74805" w14:textId="77777777" w:rsidR="00D618EE" w:rsidRPr="00D618EE" w:rsidRDefault="00D618EE" w:rsidP="00980BF5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 xml:space="preserve">Debilitating fatigue that is worsened by activity, is not caused by excessive cognitive, physical, </w:t>
      </w:r>
      <w:proofErr w:type="gramStart"/>
      <w:r w:rsidRPr="00D618EE">
        <w:rPr>
          <w:rFonts w:ascii="Arial" w:hAnsi="Arial" w:cs="Arial"/>
        </w:rPr>
        <w:t>emotional</w:t>
      </w:r>
      <w:proofErr w:type="gramEnd"/>
      <w:r w:rsidRPr="00D618EE">
        <w:rPr>
          <w:rFonts w:ascii="Arial" w:hAnsi="Arial" w:cs="Arial"/>
        </w:rPr>
        <w:t xml:space="preserve"> or social exertion, and is not significantly relieved by rest.</w:t>
      </w:r>
    </w:p>
    <w:p w14:paraId="2F22A808" w14:textId="77777777" w:rsidR="00D618EE" w:rsidRPr="00D618EE" w:rsidRDefault="00D618EE" w:rsidP="00D618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Post-exertional malaise after activity in which the worsening of symptoms:</w:t>
      </w:r>
      <w:r>
        <w:rPr>
          <w:rFonts w:ascii="Arial" w:hAnsi="Arial" w:cs="Arial"/>
        </w:rPr>
        <w:tab/>
      </w:r>
    </w:p>
    <w:p w14:paraId="5F9507EE" w14:textId="77777777" w:rsidR="00D618EE" w:rsidRPr="00D618EE" w:rsidRDefault="00D618EE" w:rsidP="00D618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is often delayed in onset by hours or days</w:t>
      </w:r>
    </w:p>
    <w:p w14:paraId="735E2B2C" w14:textId="77777777" w:rsidR="00D618EE" w:rsidRPr="00D618EE" w:rsidRDefault="00D618EE" w:rsidP="00D618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is disproportionate to the activity</w:t>
      </w:r>
    </w:p>
    <w:p w14:paraId="7EAB1E88" w14:textId="77777777" w:rsidR="00D618EE" w:rsidRPr="00D618EE" w:rsidRDefault="00D618EE" w:rsidP="00D618E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 xml:space="preserve">has a prolonged recovery time that may last hours, days, weeks or </w:t>
      </w:r>
      <w:proofErr w:type="gramStart"/>
      <w:r w:rsidRPr="00D618EE">
        <w:rPr>
          <w:rFonts w:ascii="Arial" w:hAnsi="Arial" w:cs="Arial"/>
        </w:rPr>
        <w:t>longer</w:t>
      </w:r>
      <w:proofErr w:type="gramEnd"/>
    </w:p>
    <w:p w14:paraId="05BF48D0" w14:textId="77777777" w:rsidR="00D618EE" w:rsidRPr="00D618EE" w:rsidRDefault="00D618EE" w:rsidP="00D618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Unrefreshing sleep or sleep disturbance (or both), which may include:</w:t>
      </w:r>
    </w:p>
    <w:p w14:paraId="1658FB5A" w14:textId="77777777" w:rsidR="00D618EE" w:rsidRPr="00D618EE" w:rsidRDefault="00D618EE" w:rsidP="00D618E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feeling exhausted, feeling flu-like and stiff on waking</w:t>
      </w:r>
    </w:p>
    <w:p w14:paraId="6EAF707A" w14:textId="77777777" w:rsidR="00D618EE" w:rsidRPr="00D618EE" w:rsidRDefault="00D618EE" w:rsidP="00D618E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broken or shallow sleep, altered sleep pattern or hypersomnia</w:t>
      </w:r>
    </w:p>
    <w:p w14:paraId="5B7AEEC8" w14:textId="77777777" w:rsidR="00B35EDB" w:rsidRDefault="00D618EE" w:rsidP="00D618E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Cognitive difficulties (sometimes described as 'brain fog'), which may include problems finding words or numbers, difficulty in speaking, slowed responsiveness, short-term memory problems, and difficulty concentrating or multitasking.</w:t>
      </w:r>
    </w:p>
    <w:p w14:paraId="16274F3E" w14:textId="77777777" w:rsidR="00D618EE" w:rsidRDefault="00D618EE" w:rsidP="00D618EE">
      <w:pPr>
        <w:jc w:val="both"/>
        <w:rPr>
          <w:rFonts w:ascii="Arial" w:hAnsi="Arial" w:cs="Arial"/>
        </w:rPr>
      </w:pPr>
    </w:p>
    <w:p w14:paraId="7D17B62A" w14:textId="77777777" w:rsidR="00D618EE" w:rsidRPr="00D618EE" w:rsidRDefault="00D618EE" w:rsidP="00D618EE">
      <w:p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If ME/CFS is suspected, carry out:</w:t>
      </w:r>
    </w:p>
    <w:p w14:paraId="11B475C0" w14:textId="77777777" w:rsidR="00D618EE" w:rsidRPr="00D618EE" w:rsidRDefault="00D618EE" w:rsidP="00D618E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a medical assessment (including symptoms and history, comorbidities, overall physical and mental health)</w:t>
      </w:r>
    </w:p>
    <w:p w14:paraId="53161067" w14:textId="77777777" w:rsidR="00D618EE" w:rsidRPr="00D618EE" w:rsidRDefault="00D618EE" w:rsidP="00D618E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a physical examination</w:t>
      </w:r>
    </w:p>
    <w:p w14:paraId="10802E77" w14:textId="77777777" w:rsidR="00D618EE" w:rsidRDefault="00D618EE" w:rsidP="00D618EE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618EE">
        <w:rPr>
          <w:rFonts w:ascii="Arial" w:hAnsi="Arial" w:cs="Arial"/>
        </w:rPr>
        <w:t>an assessment of the impact of symptoms on psychological and social wellbeing</w:t>
      </w:r>
    </w:p>
    <w:p w14:paraId="2083460D" w14:textId="77777777" w:rsidR="00D618EE" w:rsidRDefault="00D618EE">
      <w:pPr>
        <w:jc w:val="both"/>
        <w:rPr>
          <w:rFonts w:ascii="Arial" w:hAnsi="Arial" w:cs="Arial"/>
        </w:rPr>
      </w:pPr>
    </w:p>
    <w:p w14:paraId="67232AC0" w14:textId="77777777" w:rsidR="00B35EDB" w:rsidRDefault="00B35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exclude other possible causes of chronic fatigue, the following conditions should have been considered:</w:t>
      </w:r>
    </w:p>
    <w:p w14:paraId="4B2BF346" w14:textId="77777777" w:rsidR="008F1E9C" w:rsidRPr="00CA4F49" w:rsidRDefault="008F1E9C" w:rsidP="008F1E9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Primary</w:t>
      </w:r>
      <w:r w:rsidRPr="00CA4F4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CA4F49">
        <w:rPr>
          <w:rFonts w:ascii="Arial" w:hAnsi="Arial" w:cs="Arial"/>
          <w:sz w:val="22"/>
          <w:szCs w:val="22"/>
        </w:rPr>
        <w:t>Sleep Disorder</w:t>
      </w:r>
    </w:p>
    <w:p w14:paraId="70209101" w14:textId="77777777" w:rsidR="008F1E9C" w:rsidRPr="00CA4F49" w:rsidRDefault="008F1E9C" w:rsidP="008F1E9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Thyroid Disease</w:t>
      </w:r>
    </w:p>
    <w:p w14:paraId="2C67C5A1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Adrenal insufficiency</w:t>
      </w:r>
    </w:p>
    <w:p w14:paraId="24158B7B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Anaemia</w:t>
      </w:r>
    </w:p>
    <w:p w14:paraId="6994A6ED" w14:textId="77777777" w:rsidR="00643E4E" w:rsidRPr="00CA4F49" w:rsidRDefault="00643E4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Vitamin D deficiency</w:t>
      </w:r>
    </w:p>
    <w:p w14:paraId="06D4C99D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lastRenderedPageBreak/>
        <w:t>Chronic infection</w:t>
      </w:r>
    </w:p>
    <w:p w14:paraId="2C4734A6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Coeliac disease</w:t>
      </w:r>
    </w:p>
    <w:p w14:paraId="42BB8904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Immunodeficiency</w:t>
      </w:r>
    </w:p>
    <w:p w14:paraId="2F842796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Fibromyalgia (pain dominates fatigue in clinical presentation)</w:t>
      </w:r>
    </w:p>
    <w:p w14:paraId="7BEF63C1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Malignancy</w:t>
      </w:r>
    </w:p>
    <w:p w14:paraId="29D2E125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Anxiety/Depression</w:t>
      </w:r>
    </w:p>
    <w:p w14:paraId="1A141000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MS</w:t>
      </w:r>
    </w:p>
    <w:p w14:paraId="0EB69563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Myasthenia Gravis</w:t>
      </w:r>
    </w:p>
    <w:p w14:paraId="0D8DB216" w14:textId="77777777" w:rsidR="00B35EDB" w:rsidRPr="00CA4F49" w:rsidRDefault="00B35ED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Rheumatic Diseases</w:t>
      </w:r>
    </w:p>
    <w:p w14:paraId="0FF5B589" w14:textId="77777777" w:rsidR="00B35EDB" w:rsidRDefault="00B35EDB" w:rsidP="00BB79F8">
      <w:pPr>
        <w:ind w:left="720"/>
        <w:rPr>
          <w:rFonts w:ascii="Arial" w:hAnsi="Arial" w:cs="Arial"/>
        </w:rPr>
      </w:pPr>
    </w:p>
    <w:p w14:paraId="6041FD71" w14:textId="77777777" w:rsidR="00BB79F8" w:rsidRPr="00BB79F8" w:rsidRDefault="00BF1FCB" w:rsidP="00BB79F8">
      <w:pPr>
        <w:pStyle w:val="Heading1"/>
        <w:jc w:val="both"/>
        <w:rPr>
          <w:rFonts w:ascii="Arial" w:hAnsi="Arial" w:cs="Arial"/>
          <w:i/>
          <w:u w:val="none"/>
        </w:rPr>
      </w:pPr>
      <w:r>
        <w:rPr>
          <w:rFonts w:ascii="Arial" w:hAnsi="Arial" w:cs="Arial"/>
          <w:i/>
          <w:u w:val="none"/>
        </w:rPr>
        <w:t>Refer to the a</w:t>
      </w:r>
      <w:r w:rsidR="00BB79F8" w:rsidRPr="00BB79F8">
        <w:rPr>
          <w:rFonts w:ascii="Arial" w:hAnsi="Arial" w:cs="Arial"/>
          <w:i/>
          <w:u w:val="none"/>
        </w:rPr>
        <w:t>ppro</w:t>
      </w:r>
      <w:r>
        <w:rPr>
          <w:rFonts w:ascii="Arial" w:hAnsi="Arial" w:cs="Arial"/>
          <w:i/>
          <w:u w:val="none"/>
        </w:rPr>
        <w:t>priate specialist if an alternative diagnosis is in d</w:t>
      </w:r>
      <w:r w:rsidR="00BB79F8" w:rsidRPr="00BB79F8">
        <w:rPr>
          <w:rFonts w:ascii="Arial" w:hAnsi="Arial" w:cs="Arial"/>
          <w:i/>
          <w:u w:val="none"/>
        </w:rPr>
        <w:t>oubt</w:t>
      </w:r>
      <w:r>
        <w:rPr>
          <w:rFonts w:ascii="Arial" w:hAnsi="Arial" w:cs="Arial"/>
          <w:i/>
          <w:u w:val="none"/>
        </w:rPr>
        <w:t>.</w:t>
      </w:r>
    </w:p>
    <w:p w14:paraId="5EA4CC7D" w14:textId="77777777" w:rsidR="00BB79F8" w:rsidRDefault="00BB79F8" w:rsidP="00BB79F8">
      <w:pPr>
        <w:ind w:left="720"/>
        <w:rPr>
          <w:rFonts w:ascii="Arial" w:hAnsi="Arial" w:cs="Arial"/>
        </w:rPr>
      </w:pPr>
    </w:p>
    <w:p w14:paraId="7345BB96" w14:textId="77777777" w:rsidR="001D07AA" w:rsidRDefault="00084B21">
      <w:pPr>
        <w:pStyle w:val="BodyText2"/>
        <w:rPr>
          <w:rFonts w:cs="Arial"/>
        </w:rPr>
      </w:pPr>
      <w:r>
        <w:rPr>
          <w:rFonts w:cs="Arial"/>
        </w:rPr>
        <w:t>The following blood</w:t>
      </w:r>
      <w:r w:rsidR="00B35EDB">
        <w:rPr>
          <w:rFonts w:cs="Arial"/>
        </w:rPr>
        <w:t xml:space="preserve"> tes</w:t>
      </w:r>
      <w:r>
        <w:rPr>
          <w:rFonts w:cs="Arial"/>
        </w:rPr>
        <w:t xml:space="preserve">ts should have been completed within the past 12 months </w:t>
      </w:r>
      <w:proofErr w:type="gramStart"/>
      <w:r>
        <w:rPr>
          <w:rFonts w:cs="Arial"/>
        </w:rPr>
        <w:t>in</w:t>
      </w:r>
      <w:r w:rsidR="00B35EDB">
        <w:rPr>
          <w:rFonts w:cs="Arial"/>
        </w:rPr>
        <w:t xml:space="preserve"> order to</w:t>
      </w:r>
      <w:proofErr w:type="gramEnd"/>
      <w:r w:rsidR="00B35EDB">
        <w:rPr>
          <w:rFonts w:cs="Arial"/>
        </w:rPr>
        <w:t xml:space="preserve"> exclude other causes of fatigue. </w:t>
      </w:r>
      <w:r w:rsidR="00AC225C">
        <w:rPr>
          <w:rFonts w:cs="Arial"/>
        </w:rPr>
        <w:t>If you are referring f</w:t>
      </w:r>
      <w:r w:rsidR="0092694B">
        <w:rPr>
          <w:rFonts w:cs="Arial"/>
        </w:rPr>
        <w:t>r</w:t>
      </w:r>
      <w:r w:rsidR="00AC225C">
        <w:rPr>
          <w:rFonts w:cs="Arial"/>
        </w:rPr>
        <w:t>o</w:t>
      </w:r>
      <w:r w:rsidR="0092694B">
        <w:rPr>
          <w:rFonts w:cs="Arial"/>
        </w:rPr>
        <w:t>m outside of BNSSG area w</w:t>
      </w:r>
      <w:r w:rsidR="00B35EDB">
        <w:rPr>
          <w:rFonts w:cs="Arial"/>
        </w:rPr>
        <w:t xml:space="preserve">e require a </w:t>
      </w:r>
      <w:proofErr w:type="gramStart"/>
      <w:r w:rsidR="00B35EDB">
        <w:rPr>
          <w:rFonts w:cs="Arial"/>
        </w:rPr>
        <w:t>print out</w:t>
      </w:r>
      <w:proofErr w:type="gramEnd"/>
      <w:r w:rsidR="00B35EDB">
        <w:rPr>
          <w:rFonts w:cs="Arial"/>
        </w:rPr>
        <w:t xml:space="preserve"> of the actual results for our records.</w:t>
      </w:r>
      <w:r w:rsidR="001D07AA">
        <w:rPr>
          <w:rFonts w:cs="Arial"/>
        </w:rPr>
        <w:t xml:space="preserve"> </w:t>
      </w:r>
    </w:p>
    <w:p w14:paraId="553A6413" w14:textId="77777777" w:rsidR="0092694B" w:rsidRPr="00CA4F49" w:rsidRDefault="001D07AA">
      <w:pPr>
        <w:pStyle w:val="BodyText2"/>
        <w:rPr>
          <w:rFonts w:cs="Arial"/>
          <w:sz w:val="22"/>
          <w:szCs w:val="22"/>
        </w:rPr>
      </w:pPr>
      <w:r w:rsidRPr="00CA4F49">
        <w:rPr>
          <w:rFonts w:cs="Arial"/>
          <w:sz w:val="22"/>
          <w:szCs w:val="22"/>
        </w:rPr>
        <w:t xml:space="preserve">Severn Pathology have introduced a streamlined screening request system, and it is available on ICE as a profile called CFS/ME. Using this profile will ensure </w:t>
      </w:r>
      <w:proofErr w:type="gramStart"/>
      <w:r w:rsidRPr="00CA4F49">
        <w:rPr>
          <w:rFonts w:cs="Arial"/>
          <w:sz w:val="22"/>
          <w:szCs w:val="22"/>
        </w:rPr>
        <w:t>all of</w:t>
      </w:r>
      <w:proofErr w:type="gramEnd"/>
      <w:r w:rsidRPr="00CA4F49">
        <w:rPr>
          <w:rFonts w:cs="Arial"/>
          <w:sz w:val="22"/>
          <w:szCs w:val="22"/>
        </w:rPr>
        <w:t xml:space="preserve"> these blood tests are done.</w:t>
      </w:r>
    </w:p>
    <w:p w14:paraId="3C1E0D09" w14:textId="77777777" w:rsidR="00D618EE" w:rsidRPr="00CA4F49" w:rsidRDefault="00CA4F49" w:rsidP="00CA4F49">
      <w:pPr>
        <w:spacing w:line="276" w:lineRule="auto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 xml:space="preserve">Gloucester Royal Hospital Pathology Service now offer a fatigue </w:t>
      </w:r>
      <w:proofErr w:type="gramStart"/>
      <w:r w:rsidRPr="00CA4F49">
        <w:rPr>
          <w:rFonts w:ascii="Arial" w:hAnsi="Arial" w:cs="Arial"/>
          <w:sz w:val="22"/>
          <w:szCs w:val="22"/>
        </w:rPr>
        <w:t>screen</w:t>
      </w:r>
      <w:proofErr w:type="gramEnd"/>
      <w:r w:rsidRPr="00CA4F49">
        <w:rPr>
          <w:rFonts w:ascii="Arial" w:hAnsi="Arial" w:cs="Arial"/>
          <w:sz w:val="22"/>
          <w:szCs w:val="22"/>
        </w:rPr>
        <w:t xml:space="preserve"> but you will need to add the CRP and CK to complete the set of blood tests recommended by the NICE Guideline: </w:t>
      </w:r>
      <w:hyperlink r:id="rId8" w:tgtFrame="_blank" w:history="1">
        <w:r w:rsidRPr="00CA4F49">
          <w:rPr>
            <w:rFonts w:ascii="Arial" w:hAnsi="Arial" w:cs="Arial"/>
            <w:sz w:val="22"/>
            <w:szCs w:val="22"/>
          </w:rPr>
          <w:t>https://g-care.glos.nhs.uk/pathway/659/resource/11</w:t>
        </w:r>
      </w:hyperlink>
    </w:p>
    <w:p w14:paraId="67E6EDD4" w14:textId="77777777" w:rsidR="00CA4F49" w:rsidRDefault="00CA4F49">
      <w:pPr>
        <w:pStyle w:val="BodyText2"/>
        <w:rPr>
          <w:rFonts w:cs="Arial"/>
        </w:rPr>
      </w:pPr>
    </w:p>
    <w:p w14:paraId="213EDCDF" w14:textId="77777777" w:rsidR="00B35EDB" w:rsidRDefault="006A111D">
      <w:pPr>
        <w:pStyle w:val="BodyText2"/>
        <w:rPr>
          <w:rFonts w:cs="Arial"/>
          <w:bCs/>
        </w:rPr>
      </w:pPr>
      <w:r>
        <w:rPr>
          <w:rFonts w:cs="Arial"/>
          <w:bCs/>
        </w:rPr>
        <w:t>Test results for patients with M</w:t>
      </w:r>
      <w:r w:rsidR="00D618EE">
        <w:rPr>
          <w:rFonts w:cs="Arial"/>
          <w:bCs/>
        </w:rPr>
        <w:t>.</w:t>
      </w:r>
      <w:r>
        <w:rPr>
          <w:rFonts w:cs="Arial"/>
          <w:bCs/>
        </w:rPr>
        <w:t>E</w:t>
      </w:r>
      <w:r w:rsidR="00D618EE">
        <w:rPr>
          <w:rFonts w:cs="Arial"/>
          <w:bCs/>
        </w:rPr>
        <w:t>./CFS</w:t>
      </w:r>
      <w:r>
        <w:rPr>
          <w:rFonts w:cs="Arial"/>
          <w:bCs/>
        </w:rPr>
        <w:t xml:space="preserve"> should be normal: p</w:t>
      </w:r>
      <w:r w:rsidRPr="00A665B9">
        <w:rPr>
          <w:rFonts w:cs="Arial"/>
          <w:bCs/>
        </w:rPr>
        <w:t>lease comment on any abnormalities</w:t>
      </w:r>
      <w:r>
        <w:rPr>
          <w:rFonts w:cs="Arial"/>
          <w:bCs/>
        </w:rPr>
        <w:t xml:space="preserve"> that can be explained.</w:t>
      </w:r>
    </w:p>
    <w:p w14:paraId="03AC1E59" w14:textId="77777777" w:rsidR="00B35EDB" w:rsidRDefault="00B35EDB">
      <w:pPr>
        <w:jc w:val="both"/>
        <w:rPr>
          <w:rFonts w:ascii="Arial" w:hAnsi="Arial" w:cs="Arial"/>
        </w:rPr>
      </w:pPr>
    </w:p>
    <w:p w14:paraId="7D14ECCF" w14:textId="77777777" w:rsidR="00B35EDB" w:rsidRPr="00CA4F49" w:rsidRDefault="00B35ED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FBC</w:t>
      </w:r>
    </w:p>
    <w:p w14:paraId="26CDAF0C" w14:textId="77777777" w:rsidR="00B35EDB" w:rsidRPr="00CA4F49" w:rsidRDefault="002F64D6" w:rsidP="002F64D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CRP, ESR or PV</w:t>
      </w:r>
    </w:p>
    <w:p w14:paraId="3BC11DED" w14:textId="77777777" w:rsidR="00C04EBF" w:rsidRPr="00CA4F49" w:rsidRDefault="001D07AA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Urea and electrolytes including potassium</w:t>
      </w:r>
    </w:p>
    <w:p w14:paraId="7AA5DA45" w14:textId="77777777" w:rsidR="00B35EDB" w:rsidRPr="00CA4F49" w:rsidRDefault="00B35ED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Liver function</w:t>
      </w:r>
    </w:p>
    <w:p w14:paraId="47B38CB7" w14:textId="77777777" w:rsidR="00B35EDB" w:rsidRPr="00CA4F49" w:rsidRDefault="00B35ED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Calcium</w:t>
      </w:r>
    </w:p>
    <w:p w14:paraId="4E2A27DD" w14:textId="77777777" w:rsidR="000026FE" w:rsidRPr="00CA4F49" w:rsidRDefault="00B35EDB" w:rsidP="000026F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 xml:space="preserve">Thyroid function </w:t>
      </w:r>
    </w:p>
    <w:p w14:paraId="42482BE4" w14:textId="77777777" w:rsidR="00B35EDB" w:rsidRPr="00CA4F49" w:rsidRDefault="00B35EDB" w:rsidP="000026F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 xml:space="preserve">Creatine kinase </w:t>
      </w:r>
    </w:p>
    <w:p w14:paraId="65C8A52A" w14:textId="77777777" w:rsidR="00B35EDB" w:rsidRPr="00CA4F49" w:rsidRDefault="00B35ED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Random blood glucose</w:t>
      </w:r>
    </w:p>
    <w:p w14:paraId="5D752634" w14:textId="77777777" w:rsidR="00B35EDB" w:rsidRPr="00CA4F49" w:rsidRDefault="00B35ED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Local coeliac screen (</w:t>
      </w:r>
      <w:proofErr w:type="gramStart"/>
      <w:r w:rsidRPr="00CA4F49">
        <w:rPr>
          <w:rFonts w:ascii="Arial" w:hAnsi="Arial" w:cs="Arial"/>
          <w:sz w:val="22"/>
          <w:szCs w:val="22"/>
        </w:rPr>
        <w:t>e.g.</w:t>
      </w:r>
      <w:proofErr w:type="gramEnd"/>
      <w:r w:rsidRPr="00CA4F49">
        <w:rPr>
          <w:rFonts w:ascii="Arial" w:hAnsi="Arial" w:cs="Arial"/>
          <w:sz w:val="22"/>
          <w:szCs w:val="22"/>
        </w:rPr>
        <w:t xml:space="preserve"> IgA </w:t>
      </w:r>
      <w:proofErr w:type="spellStart"/>
      <w:r w:rsidRPr="00CA4F49">
        <w:rPr>
          <w:rFonts w:ascii="Arial" w:hAnsi="Arial" w:cs="Arial"/>
          <w:sz w:val="22"/>
          <w:szCs w:val="22"/>
        </w:rPr>
        <w:t>endomysial</w:t>
      </w:r>
      <w:proofErr w:type="spellEnd"/>
      <w:r w:rsidRPr="00CA4F49">
        <w:rPr>
          <w:rFonts w:ascii="Arial" w:hAnsi="Arial" w:cs="Arial"/>
          <w:sz w:val="22"/>
          <w:szCs w:val="22"/>
        </w:rPr>
        <w:t xml:space="preserve"> or tissue transglutaminase autoantibodies)</w:t>
      </w:r>
    </w:p>
    <w:p w14:paraId="724792F2" w14:textId="77777777" w:rsidR="00C04EBF" w:rsidRPr="00CA4F49" w:rsidRDefault="001D07AA" w:rsidP="00C04EB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HbA1c or alternative measure of blood glucose</w:t>
      </w:r>
    </w:p>
    <w:p w14:paraId="3EDD49FF" w14:textId="77777777" w:rsidR="00C04EBF" w:rsidRDefault="00C04EBF" w:rsidP="00C04EBF">
      <w:pPr>
        <w:ind w:left="720"/>
        <w:rPr>
          <w:rFonts w:ascii="Arial" w:hAnsi="Arial" w:cs="Arial"/>
        </w:rPr>
      </w:pPr>
    </w:p>
    <w:p w14:paraId="4A6C8DAF" w14:textId="77777777" w:rsidR="00B35EDB" w:rsidRDefault="00B35EDB">
      <w:pPr>
        <w:pStyle w:val="Heading3"/>
        <w:jc w:val="both"/>
        <w:rPr>
          <w:rFonts w:cs="Arial"/>
          <w:b/>
        </w:rPr>
      </w:pPr>
      <w:r>
        <w:rPr>
          <w:rFonts w:cs="Arial"/>
          <w:b/>
        </w:rPr>
        <w:t xml:space="preserve">Exclusion criteria for the </w:t>
      </w:r>
      <w:r w:rsidR="006536F4">
        <w:rPr>
          <w:rFonts w:cs="Arial"/>
          <w:b/>
        </w:rPr>
        <w:t xml:space="preserve">Bristol </w:t>
      </w:r>
      <w:r>
        <w:rPr>
          <w:rFonts w:cs="Arial"/>
          <w:b/>
        </w:rPr>
        <w:t>M</w:t>
      </w:r>
      <w:r w:rsidR="00097D83">
        <w:rPr>
          <w:rFonts w:cs="Arial"/>
          <w:b/>
        </w:rPr>
        <w:t>.</w:t>
      </w:r>
      <w:r>
        <w:rPr>
          <w:rFonts w:cs="Arial"/>
          <w:b/>
        </w:rPr>
        <w:t>E</w:t>
      </w:r>
      <w:r w:rsidR="00097D83">
        <w:rPr>
          <w:rFonts w:cs="Arial"/>
          <w:b/>
        </w:rPr>
        <w:t>.</w:t>
      </w:r>
      <w:r>
        <w:rPr>
          <w:rFonts w:cs="Arial"/>
          <w:b/>
        </w:rPr>
        <w:t xml:space="preserve"> Service</w:t>
      </w:r>
    </w:p>
    <w:p w14:paraId="41844871" w14:textId="77777777" w:rsidR="00B35EDB" w:rsidRPr="00CA4F49" w:rsidRDefault="00B35E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 xml:space="preserve">Major psychiatric illness with psychotic or manic features. </w:t>
      </w:r>
    </w:p>
    <w:p w14:paraId="0ADBF70A" w14:textId="77777777" w:rsidR="00643E4E" w:rsidRPr="00CA4F49" w:rsidRDefault="00643E4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 xml:space="preserve">Fibromyalgia (refer </w:t>
      </w:r>
      <w:r w:rsidR="001D07AA" w:rsidRPr="00CA4F49">
        <w:rPr>
          <w:rFonts w:ascii="Arial" w:hAnsi="Arial" w:cs="Arial"/>
          <w:sz w:val="22"/>
          <w:szCs w:val="22"/>
        </w:rPr>
        <w:t xml:space="preserve">to </w:t>
      </w:r>
      <w:r w:rsidR="00CA4F49">
        <w:rPr>
          <w:rFonts w:ascii="Arial" w:hAnsi="Arial" w:cs="Arial"/>
          <w:sz w:val="22"/>
          <w:szCs w:val="22"/>
        </w:rPr>
        <w:t>local referral guidance)</w:t>
      </w:r>
    </w:p>
    <w:p w14:paraId="33A0E1E5" w14:textId="77777777" w:rsidR="00B35EDB" w:rsidRPr="00CA4F49" w:rsidRDefault="00B35E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History of failed rehabilitation specific to M</w:t>
      </w:r>
      <w:r w:rsidR="00097D83">
        <w:rPr>
          <w:rFonts w:ascii="Arial" w:hAnsi="Arial" w:cs="Arial"/>
          <w:sz w:val="22"/>
          <w:szCs w:val="22"/>
        </w:rPr>
        <w:t>.</w:t>
      </w:r>
      <w:r w:rsidRPr="00CA4F49">
        <w:rPr>
          <w:rFonts w:ascii="Arial" w:hAnsi="Arial" w:cs="Arial"/>
          <w:sz w:val="22"/>
          <w:szCs w:val="22"/>
        </w:rPr>
        <w:t>E</w:t>
      </w:r>
      <w:r w:rsidR="00097D83">
        <w:rPr>
          <w:rFonts w:ascii="Arial" w:hAnsi="Arial" w:cs="Arial"/>
          <w:sz w:val="22"/>
          <w:szCs w:val="22"/>
        </w:rPr>
        <w:t>./CFS</w:t>
      </w:r>
      <w:r w:rsidRPr="00CA4F49">
        <w:rPr>
          <w:rFonts w:ascii="Arial" w:hAnsi="Arial" w:cs="Arial"/>
          <w:sz w:val="22"/>
          <w:szCs w:val="22"/>
        </w:rPr>
        <w:t xml:space="preserve"> unless there are specific reasons to reconsider the role of rehabilitation (please outline these in the referral).</w:t>
      </w:r>
    </w:p>
    <w:p w14:paraId="3E06EEED" w14:textId="77777777" w:rsidR="00B35EDB" w:rsidRPr="00CA4F49" w:rsidRDefault="00B35E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Concurrent rehabilitation from another service.</w:t>
      </w:r>
    </w:p>
    <w:p w14:paraId="2B08C0AF" w14:textId="77777777" w:rsidR="00B35EDB" w:rsidRPr="00CA4F49" w:rsidRDefault="00B35ED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A4F49">
        <w:rPr>
          <w:rFonts w:ascii="Arial" w:hAnsi="Arial" w:cs="Arial"/>
          <w:sz w:val="22"/>
          <w:szCs w:val="22"/>
        </w:rPr>
        <w:t>Ongoing medical investigation</w:t>
      </w:r>
    </w:p>
    <w:p w14:paraId="09D4B11A" w14:textId="77777777" w:rsidR="00B35EDB" w:rsidRDefault="00B35EDB">
      <w:pPr>
        <w:jc w:val="both"/>
        <w:rPr>
          <w:rFonts w:ascii="Arial" w:hAnsi="Arial" w:cs="Arial"/>
        </w:rPr>
      </w:pPr>
    </w:p>
    <w:p w14:paraId="3F9AD669" w14:textId="77777777" w:rsidR="00B35EDB" w:rsidRDefault="00B35EDB">
      <w:pPr>
        <w:pStyle w:val="Heading3"/>
        <w:jc w:val="both"/>
        <w:rPr>
          <w:rFonts w:cs="Arial"/>
          <w:b/>
        </w:rPr>
      </w:pPr>
      <w:r>
        <w:rPr>
          <w:rFonts w:cs="Arial"/>
          <w:b/>
        </w:rPr>
        <w:t>What the service offers</w:t>
      </w:r>
    </w:p>
    <w:p w14:paraId="32205B2E" w14:textId="77777777" w:rsidR="00B35EDB" w:rsidRDefault="00B35ED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Multi-disciplinary </w:t>
      </w:r>
      <w:r w:rsidR="00FC7D87">
        <w:rPr>
          <w:rFonts w:ascii="Arial" w:hAnsi="Arial" w:cs="Arial"/>
        </w:rPr>
        <w:t xml:space="preserve">outpatient </w:t>
      </w:r>
      <w:r>
        <w:rPr>
          <w:rFonts w:ascii="Arial" w:hAnsi="Arial" w:cs="Arial"/>
        </w:rPr>
        <w:t>assessment.</w:t>
      </w:r>
    </w:p>
    <w:p w14:paraId="1E56AFCE" w14:textId="77777777" w:rsidR="00B35EDB" w:rsidRDefault="00B35ED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Consultation and advice in liaison with Primary Health Care Team.</w:t>
      </w:r>
    </w:p>
    <w:p w14:paraId="7EA33F3C" w14:textId="77777777" w:rsidR="00B35EDB" w:rsidRDefault="00B35ED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Direct clinical work (</w:t>
      </w:r>
      <w:r w:rsidR="006536F4">
        <w:rPr>
          <w:rFonts w:ascii="Arial" w:hAnsi="Arial" w:cs="Arial"/>
        </w:rPr>
        <w:t>group or individual).</w:t>
      </w:r>
    </w:p>
    <w:p w14:paraId="57BDD2FD" w14:textId="77777777" w:rsidR="00097D83" w:rsidRDefault="00B35ED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Multi-component rehabilitation package for symptom management. </w:t>
      </w:r>
    </w:p>
    <w:p w14:paraId="285406DC" w14:textId="77777777" w:rsidR="00B35EDB" w:rsidRDefault="00B35ED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Complex case management.</w:t>
      </w:r>
    </w:p>
    <w:p w14:paraId="3A97DC52" w14:textId="77777777" w:rsidR="00B35EDB" w:rsidRDefault="00B35EDB">
      <w:pPr>
        <w:jc w:val="both"/>
        <w:rPr>
          <w:rFonts w:ascii="Arial" w:hAnsi="Arial" w:cs="Arial"/>
        </w:rPr>
      </w:pPr>
    </w:p>
    <w:p w14:paraId="6EEC0AAE" w14:textId="77777777" w:rsidR="00B35EDB" w:rsidRDefault="00B35EDB" w:rsidP="00CA4F49">
      <w:pPr>
        <w:jc w:val="both"/>
        <w:rPr>
          <w:sz w:val="20"/>
        </w:rPr>
      </w:pPr>
      <w:r>
        <w:rPr>
          <w:rFonts w:ascii="Arial" w:hAnsi="Arial" w:cs="Arial"/>
        </w:rPr>
        <w:t>Due to our large catchment area and limited staff resources, we will prioritise referrals and can only acc</w:t>
      </w:r>
      <w:r w:rsidR="008F1E9C">
        <w:rPr>
          <w:rFonts w:ascii="Arial" w:hAnsi="Arial" w:cs="Arial"/>
        </w:rPr>
        <w:t>ept those that meet our criteria and have a completed negative blood test screen.</w:t>
      </w:r>
      <w:r>
        <w:rPr>
          <w:rFonts w:ascii="Arial" w:hAnsi="Arial" w:cs="Arial"/>
        </w:rPr>
        <w:t xml:space="preserve"> In some cases, we will be expecting to advise other professionals regarding case management rather than accepting the referral ourselves.</w:t>
      </w:r>
    </w:p>
    <w:sectPr w:rsidR="00B35EDB">
      <w:headerReference w:type="default" r:id="rId9"/>
      <w:footerReference w:type="default" r:id="rId10"/>
      <w:pgSz w:w="11907" w:h="16839" w:code="1"/>
      <w:pgMar w:top="965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7D320" w14:textId="77777777" w:rsidR="00980BF5" w:rsidRDefault="00980BF5">
      <w:r>
        <w:separator/>
      </w:r>
    </w:p>
  </w:endnote>
  <w:endnote w:type="continuationSeparator" w:id="0">
    <w:p w14:paraId="13EE3346" w14:textId="77777777" w:rsidR="00980BF5" w:rsidRDefault="009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0E346" w14:textId="26E97DC1" w:rsidR="0054786B" w:rsidRDefault="0054786B" w:rsidP="0054786B">
    <w:pPr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</w:t>
    </w:r>
    <w:r w:rsidR="00A71F16">
      <w:rPr>
        <w:rFonts w:ascii="Arial" w:hAnsi="Arial" w:cs="Arial"/>
        <w:sz w:val="20"/>
      </w:rPr>
      <w:t xml:space="preserve">evised </w:t>
    </w:r>
    <w:r w:rsidR="00007CF5">
      <w:rPr>
        <w:rFonts w:ascii="Arial" w:hAnsi="Arial" w:cs="Arial"/>
        <w:sz w:val="20"/>
      </w:rPr>
      <w:t>November</w:t>
    </w:r>
    <w:r w:rsidR="00081E50">
      <w:rPr>
        <w:rFonts w:ascii="Arial" w:hAnsi="Arial" w:cs="Arial"/>
        <w:sz w:val="20"/>
      </w:rPr>
      <w:t xml:space="preserve"> </w:t>
    </w:r>
    <w:r w:rsidR="0092694B">
      <w:rPr>
        <w:rFonts w:ascii="Arial" w:hAnsi="Arial" w:cs="Arial"/>
        <w:sz w:val="20"/>
      </w:rPr>
      <w:t>20</w:t>
    </w:r>
    <w:r w:rsidR="00081E50">
      <w:rPr>
        <w:rFonts w:ascii="Arial" w:hAnsi="Arial" w:cs="Arial"/>
        <w:sz w:val="20"/>
      </w:rPr>
      <w:t>21</w:t>
    </w:r>
  </w:p>
  <w:p w14:paraId="100BA3A3" w14:textId="77777777" w:rsidR="0054786B" w:rsidRDefault="0054786B">
    <w:pPr>
      <w:pStyle w:val="Footer"/>
    </w:pPr>
  </w:p>
  <w:p w14:paraId="29916854" w14:textId="77777777" w:rsidR="00EB70D2" w:rsidRDefault="00EB70D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485"/>
        <w:tab w:val="right" w:pos="8970"/>
      </w:tabs>
      <w:spacing w:before="0" w:line="240" w:lineRule="auto"/>
      <w:ind w:left="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ADB1" w14:textId="77777777" w:rsidR="00980BF5" w:rsidRDefault="00980BF5">
      <w:r>
        <w:separator/>
      </w:r>
    </w:p>
  </w:footnote>
  <w:footnote w:type="continuationSeparator" w:id="0">
    <w:p w14:paraId="0105A471" w14:textId="77777777" w:rsidR="00980BF5" w:rsidRDefault="00980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9474" w14:textId="46A40CDD" w:rsidR="00A62BFE" w:rsidRDefault="00007CF5" w:rsidP="00A62BFE">
    <w:pPr>
      <w:pStyle w:val="Header"/>
      <w:jc w:val="right"/>
    </w:pPr>
    <w:r>
      <w:rPr>
        <w:noProof/>
      </w:rPr>
      <w:drawing>
        <wp:inline distT="0" distB="0" distL="0" distR="0" wp14:anchorId="22EE945D" wp14:editId="78E420AB">
          <wp:extent cx="1838325" cy="609600"/>
          <wp:effectExtent l="0" t="0" r="0" b="0"/>
          <wp:docPr id="1" name="Picture 1" descr="North Bristol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rth Bristol NHS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91" t="12886" b="22859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E2810" w14:textId="77777777" w:rsidR="00A62BFE" w:rsidRDefault="00A62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E7A8A"/>
    <w:multiLevelType w:val="hybridMultilevel"/>
    <w:tmpl w:val="CB62F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260"/>
    <w:multiLevelType w:val="multilevel"/>
    <w:tmpl w:val="CB5C343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7E36"/>
    <w:multiLevelType w:val="multilevel"/>
    <w:tmpl w:val="5E8A409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9C4"/>
    <w:multiLevelType w:val="hybridMultilevel"/>
    <w:tmpl w:val="F890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44A"/>
    <w:multiLevelType w:val="hybridMultilevel"/>
    <w:tmpl w:val="BAB2B6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6F0D97"/>
    <w:multiLevelType w:val="hybridMultilevel"/>
    <w:tmpl w:val="2E668E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EC51BA"/>
    <w:multiLevelType w:val="hybridMultilevel"/>
    <w:tmpl w:val="9A8C84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D74F7"/>
    <w:multiLevelType w:val="multilevel"/>
    <w:tmpl w:val="D4042C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0125B"/>
    <w:multiLevelType w:val="multilevel"/>
    <w:tmpl w:val="AC34BE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62C9D"/>
    <w:multiLevelType w:val="multilevel"/>
    <w:tmpl w:val="9D962BD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0"/>
    <w:rsid w:val="000026FE"/>
    <w:rsid w:val="00007CF5"/>
    <w:rsid w:val="00081E50"/>
    <w:rsid w:val="00084B21"/>
    <w:rsid w:val="00097D83"/>
    <w:rsid w:val="000B6181"/>
    <w:rsid w:val="001014E6"/>
    <w:rsid w:val="0012244C"/>
    <w:rsid w:val="0013224A"/>
    <w:rsid w:val="0017398C"/>
    <w:rsid w:val="00181DDE"/>
    <w:rsid w:val="001C6233"/>
    <w:rsid w:val="001D07AA"/>
    <w:rsid w:val="002002F5"/>
    <w:rsid w:val="0021318E"/>
    <w:rsid w:val="00234D6B"/>
    <w:rsid w:val="002D533D"/>
    <w:rsid w:val="002E2029"/>
    <w:rsid w:val="002F64D6"/>
    <w:rsid w:val="00313930"/>
    <w:rsid w:val="003713D4"/>
    <w:rsid w:val="00381575"/>
    <w:rsid w:val="0043537C"/>
    <w:rsid w:val="004F7BC6"/>
    <w:rsid w:val="0054786B"/>
    <w:rsid w:val="005D3C5A"/>
    <w:rsid w:val="00643E4E"/>
    <w:rsid w:val="006536F4"/>
    <w:rsid w:val="006562B3"/>
    <w:rsid w:val="006A111D"/>
    <w:rsid w:val="006A6690"/>
    <w:rsid w:val="00706554"/>
    <w:rsid w:val="00707AF2"/>
    <w:rsid w:val="007209DB"/>
    <w:rsid w:val="00731F05"/>
    <w:rsid w:val="0074718E"/>
    <w:rsid w:val="00766990"/>
    <w:rsid w:val="00785B7D"/>
    <w:rsid w:val="00796866"/>
    <w:rsid w:val="007B1F9A"/>
    <w:rsid w:val="007F475D"/>
    <w:rsid w:val="00876F8D"/>
    <w:rsid w:val="00894E20"/>
    <w:rsid w:val="008E690C"/>
    <w:rsid w:val="008F1E9C"/>
    <w:rsid w:val="0092694B"/>
    <w:rsid w:val="00980BF5"/>
    <w:rsid w:val="009B7F25"/>
    <w:rsid w:val="009C094A"/>
    <w:rsid w:val="00A00A70"/>
    <w:rsid w:val="00A62BFE"/>
    <w:rsid w:val="00A71F16"/>
    <w:rsid w:val="00A8071B"/>
    <w:rsid w:val="00AA7B74"/>
    <w:rsid w:val="00AC225C"/>
    <w:rsid w:val="00AC3046"/>
    <w:rsid w:val="00B35EDB"/>
    <w:rsid w:val="00B82893"/>
    <w:rsid w:val="00BB79F8"/>
    <w:rsid w:val="00BE0F81"/>
    <w:rsid w:val="00BF1FCB"/>
    <w:rsid w:val="00C04EBF"/>
    <w:rsid w:val="00C176F0"/>
    <w:rsid w:val="00C27917"/>
    <w:rsid w:val="00C95DAA"/>
    <w:rsid w:val="00CA4F49"/>
    <w:rsid w:val="00D33659"/>
    <w:rsid w:val="00D618EE"/>
    <w:rsid w:val="00DC3495"/>
    <w:rsid w:val="00E17782"/>
    <w:rsid w:val="00EB70D2"/>
    <w:rsid w:val="00F34ADA"/>
    <w:rsid w:val="00F54A47"/>
    <w:rsid w:val="00F61417"/>
    <w:rsid w:val="00F630F3"/>
    <w:rsid w:val="00F83D53"/>
    <w:rsid w:val="00FA67C5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05FE11F"/>
  <w15:chartTrackingRefBased/>
  <w15:docId w15:val="{391A9B6A-D988-4D7D-959B-78C8B8F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hd w:val="clear" w:color="auto" w:fill="000000"/>
      <w:ind w:left="-142" w:right="-151"/>
      <w:jc w:val="center"/>
      <w:outlineLvl w:val="6"/>
    </w:pPr>
    <w:rPr>
      <w:rFonts w:ascii="CG Omega" w:hAnsi="CG Omega"/>
      <w:b/>
      <w:color w:val="FFFFFF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keepLines/>
      <w:tabs>
        <w:tab w:val="center" w:pos="4320"/>
        <w:tab w:val="right" w:pos="8640"/>
      </w:tabs>
      <w:spacing w:before="600" w:line="180" w:lineRule="atLeast"/>
      <w:ind w:left="835"/>
      <w:jc w:val="both"/>
    </w:pPr>
    <w:rPr>
      <w:rFonts w:ascii="Arial" w:hAnsi="Arial"/>
      <w:sz w:val="18"/>
      <w:lang w:val="x-none"/>
    </w:rPr>
  </w:style>
  <w:style w:type="paragraph" w:customStyle="1" w:styleId="ReferenceLine">
    <w:name w:val="Reference Line"/>
    <w:basedOn w:val="BodyText"/>
    <w:pPr>
      <w:spacing w:after="120" w:line="240" w:lineRule="auto"/>
      <w:ind w:left="0"/>
      <w:jc w:val="left"/>
    </w:pPr>
    <w:rPr>
      <w:rFonts w:ascii="CG Times" w:hAnsi="CG Times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EB70D2"/>
    <w:pPr>
      <w:spacing w:before="100" w:beforeAutospacing="1" w:after="100" w:afterAutospacing="1" w:line="312" w:lineRule="auto"/>
    </w:pPr>
    <w:rPr>
      <w:color w:val="000000"/>
      <w:sz w:val="26"/>
      <w:szCs w:val="26"/>
      <w:lang w:eastAsia="en-GB"/>
    </w:rPr>
  </w:style>
  <w:style w:type="character" w:customStyle="1" w:styleId="ecx803253811-16082013">
    <w:name w:val="ecx803253811-16082013"/>
    <w:rsid w:val="006536F4"/>
  </w:style>
  <w:style w:type="character" w:customStyle="1" w:styleId="FooterChar">
    <w:name w:val="Footer Char"/>
    <w:link w:val="Footer"/>
    <w:uiPriority w:val="99"/>
    <w:rsid w:val="0054786B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54786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4786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0655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62B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3460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9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care.glos.nhs.uk/pathway/659/resource/1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istolME@nb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Bristol NHS Trust</Company>
  <LinksUpToDate>false</LinksUpToDate>
  <CharactersWithSpaces>4499</CharactersWithSpaces>
  <SharedDoc>false</SharedDoc>
  <HLinks>
    <vt:vector size="12" baseType="variant">
      <vt:variant>
        <vt:i4>4128817</vt:i4>
      </vt:variant>
      <vt:variant>
        <vt:i4>3</vt:i4>
      </vt:variant>
      <vt:variant>
        <vt:i4>0</vt:i4>
      </vt:variant>
      <vt:variant>
        <vt:i4>5</vt:i4>
      </vt:variant>
      <vt:variant>
        <vt:lpwstr>https://g-care.glos.nhs.uk/pathway/659/resource/11</vt:lpwstr>
      </vt:variant>
      <vt:variant>
        <vt:lpwstr/>
      </vt:variant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mailto:BristolME@nbt.nhs.uk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Authorised User</dc:creator>
  <cp:keywords/>
  <cp:lastModifiedBy>Peter Gladwell</cp:lastModifiedBy>
  <cp:revision>2</cp:revision>
  <cp:lastPrinted>2021-09-30T11:12:00Z</cp:lastPrinted>
  <dcterms:created xsi:type="dcterms:W3CDTF">2021-11-09T14:18:00Z</dcterms:created>
  <dcterms:modified xsi:type="dcterms:W3CDTF">2021-11-09T14:18:00Z</dcterms:modified>
</cp:coreProperties>
</file>