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3280" w14:textId="77777777" w:rsidR="00513A36" w:rsidRDefault="00513A36" w:rsidP="00A32ED5">
      <w:pPr>
        <w:pStyle w:val="Title"/>
        <w:jc w:val="left"/>
        <w:rPr>
          <w:rStyle w:val="SectionL1Char"/>
          <w:rFonts w:ascii="Arial" w:hAnsi="Arial"/>
          <w:sz w:val="72"/>
          <w:szCs w:val="32"/>
        </w:rPr>
      </w:pPr>
      <w:r w:rsidRPr="00A32ED5">
        <w:rPr>
          <w:rStyle w:val="SectionL1Char"/>
          <w:rFonts w:ascii="Arial" w:hAnsi="Arial"/>
          <w:sz w:val="72"/>
          <w:szCs w:val="32"/>
        </w:rPr>
        <w:t xml:space="preserve">GUIDELINES FOR SENDING </w:t>
      </w:r>
      <w:r w:rsidR="004955FE">
        <w:rPr>
          <w:rStyle w:val="SectionL1Char"/>
          <w:rFonts w:ascii="Arial" w:hAnsi="Arial"/>
          <w:sz w:val="72"/>
          <w:szCs w:val="32"/>
        </w:rPr>
        <w:t>NERVE</w:t>
      </w:r>
      <w:r w:rsidRPr="00A32ED5">
        <w:rPr>
          <w:rStyle w:val="SectionL1Char"/>
          <w:rFonts w:ascii="Arial" w:hAnsi="Arial"/>
          <w:sz w:val="72"/>
          <w:szCs w:val="32"/>
        </w:rPr>
        <w:t xml:space="preserve"> BIOPSIES</w:t>
      </w:r>
    </w:p>
    <w:p w14:paraId="169D1259" w14:textId="77777777" w:rsidR="00513A36" w:rsidRDefault="00513A36" w:rsidP="004955FE">
      <w:pPr>
        <w:jc w:val="both"/>
      </w:pPr>
    </w:p>
    <w:p w14:paraId="22D59C80" w14:textId="77777777" w:rsidR="00513A36" w:rsidRDefault="00513A36" w:rsidP="00CF1D9C">
      <w:pPr>
        <w:pStyle w:val="Heading1"/>
      </w:pPr>
      <w:bookmarkStart w:id="0" w:name="_Toc411258169"/>
      <w:r w:rsidRPr="00EF2A9A">
        <w:t xml:space="preserve">Sending a </w:t>
      </w:r>
      <w:r w:rsidR="004955FE">
        <w:t xml:space="preserve">Nerve </w:t>
      </w:r>
      <w:r w:rsidRPr="00EF2A9A">
        <w:t>Biopsy Specimen to the Neuropathology Department</w:t>
      </w:r>
      <w:bookmarkEnd w:id="0"/>
    </w:p>
    <w:p w14:paraId="77E1AEDE" w14:textId="77777777" w:rsidR="00513A36" w:rsidRPr="004955FE" w:rsidRDefault="00513A36" w:rsidP="004955FE">
      <w:pPr>
        <w:pStyle w:val="Heading2"/>
      </w:pPr>
      <w:r w:rsidRPr="004955FE">
        <w:t>Prior Notification:</w:t>
      </w:r>
    </w:p>
    <w:p w14:paraId="27FE68B8" w14:textId="77777777" w:rsidR="004955FE" w:rsidRDefault="004955FE" w:rsidP="004955FE">
      <w:pPr>
        <w:jc w:val="both"/>
      </w:pPr>
      <w:r w:rsidRPr="0012613C">
        <w:t>As for muscle biopsies, all peripheral nerve biopsy procedures should be pre-booked through the Neuropathology Department Office</w:t>
      </w:r>
      <w:r>
        <w:t xml:space="preserve"> if possible.</w:t>
      </w:r>
      <w:r w:rsidRPr="0012613C">
        <w:t xml:space="preserve"> </w:t>
      </w:r>
    </w:p>
    <w:p w14:paraId="66042E3D" w14:textId="77777777" w:rsidR="004955FE" w:rsidRPr="0012613C" w:rsidRDefault="004955FE" w:rsidP="004955FE">
      <w:pPr>
        <w:jc w:val="both"/>
      </w:pPr>
      <w:r>
        <w:t xml:space="preserve">Contact 0117 414 2402/3 or email </w:t>
      </w:r>
      <w:hyperlink r:id="rId7" w:history="1">
        <w:r w:rsidRPr="00FE7DB7">
          <w:rPr>
            <w:rStyle w:val="Hyperlink"/>
          </w:rPr>
          <w:t>neuropathologysecretaries</w:t>
        </w:r>
        <w:r w:rsidRPr="00FE7DB7">
          <w:rPr>
            <w:rStyle w:val="Hyperlink"/>
          </w:rPr>
          <w:t>@</w:t>
        </w:r>
        <w:r w:rsidRPr="00FE7DB7">
          <w:rPr>
            <w:rStyle w:val="Hyperlink"/>
          </w:rPr>
          <w:t>nbt.nhs.uk</w:t>
        </w:r>
      </w:hyperlink>
    </w:p>
    <w:p w14:paraId="496EBA5E" w14:textId="77777777" w:rsidR="004955FE" w:rsidRPr="0012613C" w:rsidRDefault="004955FE" w:rsidP="004955FE">
      <w:pPr>
        <w:jc w:val="both"/>
      </w:pPr>
      <w:r>
        <w:t>Neuropathology Request F</w:t>
      </w:r>
      <w:r w:rsidRPr="0012613C">
        <w:t>orms</w:t>
      </w:r>
      <w:r>
        <w:t xml:space="preserve"> (</w:t>
      </w:r>
      <w:r w:rsidRPr="004955FE">
        <w:rPr>
          <w:b/>
          <w:bCs/>
        </w:rPr>
        <w:t>NP/MGT/FM/011</w:t>
      </w:r>
      <w:r>
        <w:t xml:space="preserve">) </w:t>
      </w:r>
      <w:r w:rsidRPr="0012613C">
        <w:t>are available from</w:t>
      </w:r>
      <w:r>
        <w:t xml:space="preserve"> the neuropathology secretaries and a nerve biopsy kit including a petri dish, cling film and request form can be sent. </w:t>
      </w:r>
    </w:p>
    <w:p w14:paraId="37F08AAE" w14:textId="77777777" w:rsidR="004955FE" w:rsidRPr="0012613C" w:rsidRDefault="004955FE" w:rsidP="004955FE">
      <w:pPr>
        <w:jc w:val="both"/>
      </w:pPr>
      <w:r w:rsidRPr="0012613C">
        <w:t xml:space="preserve">If in doubt about the choice of biopsy site, </w:t>
      </w:r>
      <w:r>
        <w:t>please discuss the case with a consultant n</w:t>
      </w:r>
      <w:r w:rsidRPr="0012613C">
        <w:t>europathologist before booking the procedure.</w:t>
      </w:r>
    </w:p>
    <w:p w14:paraId="22050995" w14:textId="77777777" w:rsidR="004955FE" w:rsidRPr="0012613C" w:rsidRDefault="004955FE" w:rsidP="004955FE">
      <w:pPr>
        <w:ind w:left="360"/>
      </w:pPr>
    </w:p>
    <w:p w14:paraId="364D60D6" w14:textId="77777777" w:rsidR="004955FE" w:rsidRPr="0012613C" w:rsidRDefault="004955FE" w:rsidP="004955FE">
      <w:r w:rsidRPr="0012613C">
        <w:rPr>
          <w:b/>
        </w:rPr>
        <w:t>The Biopsy Procedure</w:t>
      </w:r>
      <w:r w:rsidRPr="0012613C">
        <w:t>:</w:t>
      </w:r>
    </w:p>
    <w:p w14:paraId="5188C510" w14:textId="77777777" w:rsidR="004955FE" w:rsidRPr="0012613C" w:rsidRDefault="004955FE" w:rsidP="004955FE">
      <w:r w:rsidRPr="0012613C">
        <w:t>Please note the following guidelines for taking a specimen:</w:t>
      </w:r>
    </w:p>
    <w:p w14:paraId="06FCD00E" w14:textId="77777777" w:rsidR="004955FE" w:rsidRPr="0012613C" w:rsidRDefault="004955FE" w:rsidP="004955FE">
      <w:pPr>
        <w:numPr>
          <w:ilvl w:val="0"/>
          <w:numId w:val="26"/>
        </w:numPr>
        <w:jc w:val="both"/>
      </w:pPr>
      <w:r w:rsidRPr="0012613C">
        <w:t xml:space="preserve">Normally the sural nerve is sampled.  This biopsy specimen should be at least 2cm in length, providing sufficient tissue for frozen sectioning, paraffin wax processing for light microscopy, and electron microscopy. </w:t>
      </w:r>
    </w:p>
    <w:p w14:paraId="2BC66960" w14:textId="77777777" w:rsidR="004955FE" w:rsidRPr="0012613C" w:rsidRDefault="004955FE" w:rsidP="004955FE">
      <w:pPr>
        <w:numPr>
          <w:ilvl w:val="0"/>
          <w:numId w:val="26"/>
        </w:numPr>
        <w:jc w:val="both"/>
      </w:pPr>
      <w:r w:rsidRPr="0012613C">
        <w:t>The specimen should not be tethered or pinned in any way.</w:t>
      </w:r>
    </w:p>
    <w:p w14:paraId="75C55BDE" w14:textId="77777777" w:rsidR="004955FE" w:rsidRPr="0012613C" w:rsidRDefault="004955FE" w:rsidP="004955FE">
      <w:pPr>
        <w:numPr>
          <w:ilvl w:val="0"/>
          <w:numId w:val="26"/>
        </w:numPr>
        <w:jc w:val="both"/>
      </w:pPr>
      <w:r w:rsidRPr="0012613C">
        <w:t>To prevent desiccation, the specimen(s) should be placed on a non-absorbent substrate and wrapped in cling-film for transport to the laboratory.</w:t>
      </w:r>
    </w:p>
    <w:p w14:paraId="2F62453E" w14:textId="77777777" w:rsidR="004955FE" w:rsidRPr="0012613C" w:rsidRDefault="004955FE" w:rsidP="004955FE">
      <w:pPr>
        <w:numPr>
          <w:ilvl w:val="0"/>
          <w:numId w:val="26"/>
        </w:numPr>
        <w:jc w:val="both"/>
      </w:pPr>
      <w:r w:rsidRPr="0012613C">
        <w:t xml:space="preserve">Ensure that there is </w:t>
      </w:r>
      <w:r w:rsidRPr="0012613C">
        <w:rPr>
          <w:b/>
          <w:i/>
        </w:rPr>
        <w:t>no specimen contact with any fluid</w:t>
      </w:r>
      <w:r w:rsidRPr="0012613C">
        <w:t>, for example fixative or saline solutions.</w:t>
      </w:r>
    </w:p>
    <w:p w14:paraId="68071D15" w14:textId="77777777" w:rsidR="004955FE" w:rsidRPr="0012613C" w:rsidRDefault="004955FE" w:rsidP="004955FE">
      <w:pPr>
        <w:numPr>
          <w:ilvl w:val="0"/>
          <w:numId w:val="26"/>
        </w:numPr>
        <w:jc w:val="both"/>
      </w:pPr>
      <w:r w:rsidRPr="0012613C">
        <w:t>Refer to the appropriate section below for instructions on sending the biopsy samples to the laboratory.</w:t>
      </w:r>
    </w:p>
    <w:p w14:paraId="73F3AC5B" w14:textId="77777777" w:rsidR="004955FE" w:rsidRPr="0012613C" w:rsidRDefault="004955FE" w:rsidP="004955FE">
      <w:pPr>
        <w:numPr>
          <w:ilvl w:val="0"/>
          <w:numId w:val="26"/>
        </w:numPr>
        <w:jc w:val="both"/>
      </w:pPr>
      <w:r w:rsidRPr="0012613C">
        <w:t>In some cases, frozen sectioning may not be necessary, in which case the specimen can be fixed locally and transported less urgently to the Department o</w:t>
      </w:r>
      <w:r>
        <w:t xml:space="preserve">f Neuropathology in Neutral Buffered Formalin. (If none is available please notify the lab. The sample can be sent fresh, urgently, and placed in formalin upon arrival). </w:t>
      </w:r>
      <w:r w:rsidRPr="0012613C">
        <w:t xml:space="preserve">  </w:t>
      </w:r>
    </w:p>
    <w:p w14:paraId="66281751" w14:textId="77777777" w:rsidR="004955FE" w:rsidRPr="0012613C" w:rsidRDefault="004955FE" w:rsidP="004955FE">
      <w:pPr>
        <w:ind w:left="1080"/>
      </w:pPr>
    </w:p>
    <w:p w14:paraId="2B136CCC" w14:textId="77777777" w:rsidR="004955FE" w:rsidRPr="0012613C" w:rsidRDefault="004955FE" w:rsidP="004955FE">
      <w:pPr>
        <w:keepNext/>
        <w:tabs>
          <w:tab w:val="left" w:pos="720"/>
        </w:tabs>
        <w:spacing w:before="240" w:after="60"/>
        <w:outlineLvl w:val="0"/>
        <w:rPr>
          <w:rFonts w:ascii="Arial Rounded MT Bold" w:hAnsi="Arial Rounded MT Bold" w:cs="Arial"/>
          <w:b/>
          <w:bCs/>
          <w:kern w:val="32"/>
          <w:sz w:val="24"/>
          <w:szCs w:val="32"/>
        </w:rPr>
      </w:pPr>
      <w:bookmarkStart w:id="1" w:name="_Toc411258173"/>
      <w:r w:rsidRPr="0012613C">
        <w:rPr>
          <w:rFonts w:ascii="Arial Rounded MT Bold" w:hAnsi="Arial Rounded MT Bold" w:cs="Arial"/>
          <w:b/>
          <w:bCs/>
          <w:kern w:val="32"/>
          <w:sz w:val="24"/>
          <w:szCs w:val="32"/>
        </w:rPr>
        <w:lastRenderedPageBreak/>
        <w:t>Nerve Biopsy Procedures Performed by Other Departments at Southmead Hospital</w:t>
      </w:r>
      <w:bookmarkEnd w:id="1"/>
    </w:p>
    <w:p w14:paraId="234196F1" w14:textId="77777777" w:rsidR="004955FE" w:rsidRPr="0012613C" w:rsidRDefault="004955FE" w:rsidP="004955FE">
      <w:pPr>
        <w:ind w:left="360"/>
        <w:jc w:val="both"/>
      </w:pPr>
      <w:r w:rsidRPr="0012613C">
        <w:t xml:space="preserve">Please schedule the procedure early enough in the day to ensure the specimen arrives at the laboratory well before the end of the afternoon, allowing time for the specimen to be sampled and prepared immediately after its arrival.  </w:t>
      </w:r>
    </w:p>
    <w:p w14:paraId="2648644F" w14:textId="77777777" w:rsidR="004955FE" w:rsidRPr="0012613C" w:rsidRDefault="004955FE" w:rsidP="004955FE">
      <w:pPr>
        <w:ind w:left="360"/>
        <w:jc w:val="both"/>
      </w:pPr>
      <w:r w:rsidRPr="0012613C">
        <w:t>Early on the day of the procedure, contact the laboratory to provide us with an expected delivery time for the specimen.  This helps us manage the day’s workload.  Also, if a delay becomes unavoidable, please keep the laboratory staff informed.</w:t>
      </w:r>
    </w:p>
    <w:p w14:paraId="423CEC7D" w14:textId="77777777" w:rsidR="004955FE" w:rsidRPr="0012613C" w:rsidRDefault="004955FE" w:rsidP="004955FE">
      <w:pPr>
        <w:ind w:left="360"/>
        <w:jc w:val="both"/>
      </w:pPr>
      <w:proofErr w:type="gramStart"/>
      <w:r w:rsidRPr="0012613C">
        <w:t>Make arrangements</w:t>
      </w:r>
      <w:proofErr w:type="gramEnd"/>
      <w:r w:rsidRPr="0012613C">
        <w:t xml:space="preserve"> for delivering the specimen to the Neuropathology Department, bearing in mind that</w:t>
      </w:r>
      <w:r>
        <w:t xml:space="preserve"> if fresh</w:t>
      </w:r>
      <w:r w:rsidRPr="0012613C">
        <w:t xml:space="preserve"> the time elapsing between taking the biopsy and its delivery to the laboratory should be kept to a minimum.  If you anticipate a delay in delivery in exces</w:t>
      </w:r>
      <w:r>
        <w:t xml:space="preserve">s of 15 minutes, liaise with a consultant neuropathologist or biomedical scientist; </w:t>
      </w:r>
      <w:r w:rsidRPr="00E96C13">
        <w:rPr>
          <w:b/>
        </w:rPr>
        <w:t>contact the laboratory on x42400</w:t>
      </w:r>
      <w:r>
        <w:t>.</w:t>
      </w:r>
    </w:p>
    <w:p w14:paraId="36493D52" w14:textId="77777777" w:rsidR="004955FE" w:rsidRPr="0012613C" w:rsidRDefault="004955FE" w:rsidP="004955FE"/>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6053"/>
      </w:tblGrid>
      <w:tr w:rsidR="004955FE" w:rsidRPr="0012613C" w14:paraId="5DB04E69" w14:textId="77777777" w:rsidTr="00480A9A">
        <w:tc>
          <w:tcPr>
            <w:tcW w:w="1980" w:type="dxa"/>
            <w:tcBorders>
              <w:top w:val="single" w:sz="4" w:space="0" w:color="auto"/>
              <w:left w:val="single" w:sz="4" w:space="0" w:color="auto"/>
              <w:bottom w:val="single" w:sz="4" w:space="0" w:color="auto"/>
              <w:right w:val="single" w:sz="4" w:space="0" w:color="auto"/>
            </w:tcBorders>
          </w:tcPr>
          <w:p w14:paraId="32C23853" w14:textId="77777777" w:rsidR="004955FE" w:rsidRPr="0012613C" w:rsidRDefault="004955FE" w:rsidP="00480A9A">
            <w:r w:rsidRPr="0012613C">
              <w:rPr>
                <w:b/>
              </w:rPr>
              <w:t>Packaging and Transportation</w:t>
            </w:r>
          </w:p>
        </w:tc>
        <w:tc>
          <w:tcPr>
            <w:tcW w:w="6241" w:type="dxa"/>
            <w:tcBorders>
              <w:top w:val="single" w:sz="4" w:space="0" w:color="auto"/>
              <w:left w:val="single" w:sz="4" w:space="0" w:color="auto"/>
              <w:bottom w:val="single" w:sz="4" w:space="0" w:color="auto"/>
              <w:right w:val="single" w:sz="4" w:space="0" w:color="auto"/>
            </w:tcBorders>
          </w:tcPr>
          <w:p w14:paraId="5FF79135" w14:textId="77777777" w:rsidR="004955FE" w:rsidRDefault="004955FE" w:rsidP="00480A9A">
            <w:pPr>
              <w:jc w:val="both"/>
            </w:pPr>
            <w:r w:rsidRPr="0012613C">
              <w:t>If the biopsy can be delivered to the department within 30 minutes of removal, the specimen can be placed on a piece of dental wax in a Petri dish, or other shallow container with flat bottom.</w:t>
            </w:r>
            <w:r>
              <w:t xml:space="preserve"> </w:t>
            </w:r>
          </w:p>
          <w:p w14:paraId="378A7BEA" w14:textId="77777777" w:rsidR="004955FE" w:rsidRPr="0012613C" w:rsidRDefault="004955FE" w:rsidP="00480A9A">
            <w:pPr>
              <w:jc w:val="both"/>
            </w:pPr>
            <w:r>
              <w:t xml:space="preserve">If sent via the pneumatic tube system, the specimen should be carefully wrapped in cling-film and put in a labelled universal container.  </w:t>
            </w:r>
          </w:p>
          <w:p w14:paraId="56C09BCB" w14:textId="77777777" w:rsidR="004955FE" w:rsidRDefault="004955FE" w:rsidP="00480A9A">
            <w:pPr>
              <w:jc w:val="both"/>
            </w:pPr>
            <w:r w:rsidRPr="0012613C">
              <w:t>The specimen container must be clearly labelled and placed in a sealable specimen bag.</w:t>
            </w:r>
          </w:p>
          <w:p w14:paraId="3625A824" w14:textId="77777777" w:rsidR="004955FE" w:rsidRPr="0012613C" w:rsidRDefault="004955FE" w:rsidP="00480A9A">
            <w:pPr>
              <w:jc w:val="both"/>
            </w:pPr>
            <w:r>
              <w:t xml:space="preserve">If the specimen is taken out of </w:t>
            </w:r>
            <w:proofErr w:type="gramStart"/>
            <w:r>
              <w:t>hours</w:t>
            </w:r>
            <w:proofErr w:type="gramEnd"/>
            <w:r>
              <w:t xml:space="preserve"> it can be placed in formalin. </w:t>
            </w:r>
          </w:p>
        </w:tc>
      </w:tr>
      <w:tr w:rsidR="004955FE" w:rsidRPr="0012613C" w14:paraId="23868A78" w14:textId="77777777" w:rsidTr="00480A9A">
        <w:trPr>
          <w:cantSplit/>
        </w:trPr>
        <w:tc>
          <w:tcPr>
            <w:tcW w:w="1980" w:type="dxa"/>
            <w:tcBorders>
              <w:top w:val="single" w:sz="4" w:space="0" w:color="auto"/>
              <w:left w:val="single" w:sz="4" w:space="0" w:color="auto"/>
              <w:bottom w:val="single" w:sz="4" w:space="0" w:color="auto"/>
              <w:right w:val="single" w:sz="4" w:space="0" w:color="auto"/>
            </w:tcBorders>
          </w:tcPr>
          <w:p w14:paraId="4FBCEA1C" w14:textId="77777777" w:rsidR="004955FE" w:rsidRPr="0012613C" w:rsidRDefault="004955FE" w:rsidP="00480A9A">
            <w:pPr>
              <w:rPr>
                <w:b/>
              </w:rPr>
            </w:pPr>
            <w:r w:rsidRPr="0012613C">
              <w:rPr>
                <w:b/>
              </w:rPr>
              <w:t>Accompanying Information</w:t>
            </w:r>
          </w:p>
        </w:tc>
        <w:tc>
          <w:tcPr>
            <w:tcW w:w="6241" w:type="dxa"/>
            <w:tcBorders>
              <w:top w:val="single" w:sz="4" w:space="0" w:color="auto"/>
              <w:left w:val="single" w:sz="4" w:space="0" w:color="auto"/>
              <w:bottom w:val="single" w:sz="4" w:space="0" w:color="auto"/>
              <w:right w:val="single" w:sz="4" w:space="0" w:color="auto"/>
            </w:tcBorders>
          </w:tcPr>
          <w:p w14:paraId="1D6E1774" w14:textId="77777777" w:rsidR="004955FE" w:rsidRPr="0012613C" w:rsidRDefault="004955FE" w:rsidP="00480A9A">
            <w:pPr>
              <w:spacing w:before="240"/>
              <w:jc w:val="both"/>
            </w:pPr>
            <w:r w:rsidRPr="0012613C">
              <w:t>Completed green Neuropatholo</w:t>
            </w:r>
            <w:r>
              <w:t>gy request form</w:t>
            </w:r>
            <w:r w:rsidRPr="0012613C">
              <w:t xml:space="preserve">, placed in the separate pocket of the specimen bag (if this has not previously been sent to the department) </w:t>
            </w:r>
          </w:p>
        </w:tc>
      </w:tr>
      <w:tr w:rsidR="004955FE" w:rsidRPr="0012613C" w14:paraId="59EDCFBC" w14:textId="77777777" w:rsidTr="00480A9A">
        <w:tc>
          <w:tcPr>
            <w:tcW w:w="1980" w:type="dxa"/>
            <w:tcBorders>
              <w:top w:val="single" w:sz="4" w:space="0" w:color="auto"/>
              <w:left w:val="single" w:sz="4" w:space="0" w:color="auto"/>
              <w:bottom w:val="single" w:sz="4" w:space="0" w:color="auto"/>
              <w:right w:val="single" w:sz="4" w:space="0" w:color="auto"/>
            </w:tcBorders>
          </w:tcPr>
          <w:p w14:paraId="7B7AE273" w14:textId="77777777" w:rsidR="004955FE" w:rsidRPr="0012613C" w:rsidRDefault="004955FE" w:rsidP="00480A9A">
            <w:pPr>
              <w:rPr>
                <w:b/>
              </w:rPr>
            </w:pPr>
            <w:r w:rsidRPr="0012613C">
              <w:rPr>
                <w:b/>
              </w:rPr>
              <w:t>Point of Delivery</w:t>
            </w:r>
          </w:p>
        </w:tc>
        <w:tc>
          <w:tcPr>
            <w:tcW w:w="6241" w:type="dxa"/>
            <w:tcBorders>
              <w:top w:val="single" w:sz="4" w:space="0" w:color="auto"/>
              <w:left w:val="single" w:sz="4" w:space="0" w:color="auto"/>
              <w:bottom w:val="single" w:sz="4" w:space="0" w:color="auto"/>
              <w:right w:val="single" w:sz="4" w:space="0" w:color="auto"/>
            </w:tcBorders>
          </w:tcPr>
          <w:p w14:paraId="344E5335" w14:textId="77777777" w:rsidR="004955FE" w:rsidRDefault="004955FE" w:rsidP="00480A9A">
            <w:pPr>
              <w:jc w:val="both"/>
            </w:pPr>
            <w:r>
              <w:t>Pneumatic tube system – ensure that the department is telephoned (x42400) immediately prior to sending the specimen.</w:t>
            </w:r>
          </w:p>
          <w:p w14:paraId="3BDAF4CA" w14:textId="77777777" w:rsidR="004955FE" w:rsidRPr="0012613C" w:rsidRDefault="004955FE" w:rsidP="00480A9A">
            <w:pPr>
              <w:jc w:val="both"/>
            </w:pPr>
            <w:r>
              <w:t xml:space="preserve">By porter - </w:t>
            </w:r>
            <w:r w:rsidRPr="0012613C">
              <w:t xml:space="preserve">Neuropathology Main Laboratory or Cellular Pathology Specimen Reception, Pathology Sciences Building.  If delivered to Specimen Reception, ensure the Neuropathology Department is contacted by telephone.   </w:t>
            </w:r>
            <w:r w:rsidRPr="0012613C">
              <w:rPr>
                <w:b/>
              </w:rPr>
              <w:t>Never leave the sample in Specimen Reception without speaking to a member of the Neuropathology team</w:t>
            </w:r>
            <w:r w:rsidRPr="0012613C">
              <w:t>. It is imperative that the sample is dealt with in the quickest possi</w:t>
            </w:r>
            <w:r>
              <w:t>ble manner if fresh.</w:t>
            </w:r>
          </w:p>
        </w:tc>
      </w:tr>
    </w:tbl>
    <w:p w14:paraId="13473DC9" w14:textId="77777777" w:rsidR="004955FE" w:rsidRPr="0012613C" w:rsidRDefault="004955FE" w:rsidP="004955FE">
      <w:pPr>
        <w:tabs>
          <w:tab w:val="left" w:pos="1985"/>
        </w:tabs>
        <w:ind w:left="2127" w:hanging="2126"/>
      </w:pPr>
    </w:p>
    <w:p w14:paraId="2F19FD5F" w14:textId="77777777" w:rsidR="004955FE" w:rsidRPr="0012613C" w:rsidRDefault="004955FE" w:rsidP="004955FE">
      <w:pPr>
        <w:keepNext/>
        <w:tabs>
          <w:tab w:val="left" w:pos="720"/>
        </w:tabs>
        <w:spacing w:before="240" w:after="60"/>
        <w:outlineLvl w:val="0"/>
        <w:rPr>
          <w:rFonts w:ascii="Arial Rounded MT Bold" w:hAnsi="Arial Rounded MT Bold" w:cs="Arial"/>
          <w:b/>
          <w:bCs/>
          <w:kern w:val="32"/>
          <w:sz w:val="24"/>
          <w:szCs w:val="32"/>
        </w:rPr>
      </w:pPr>
      <w:bookmarkStart w:id="2" w:name="_Toc411258174"/>
      <w:r w:rsidRPr="0012613C">
        <w:rPr>
          <w:rFonts w:ascii="Arial Rounded MT Bold" w:hAnsi="Arial Rounded MT Bold" w:cs="Arial"/>
          <w:b/>
          <w:bCs/>
          <w:kern w:val="32"/>
          <w:sz w:val="24"/>
          <w:szCs w:val="32"/>
        </w:rPr>
        <w:t>Nerve Biopsy Procedures Performed at Other Hospitals</w:t>
      </w:r>
      <w:bookmarkEnd w:id="2"/>
    </w:p>
    <w:p w14:paraId="1319E594" w14:textId="77777777" w:rsidR="004955FE" w:rsidRPr="0012613C" w:rsidRDefault="004955FE" w:rsidP="004955FE">
      <w:pPr>
        <w:ind w:left="360"/>
        <w:jc w:val="both"/>
      </w:pPr>
      <w:r w:rsidRPr="0012613C">
        <w:t>In order to provide a satisfactory diagnostic service for peripheral nerve biopsy specimens taken at locations away from Southmead Hospital, it is important that the following guidelines are followed:</w:t>
      </w:r>
    </w:p>
    <w:p w14:paraId="63891DDA" w14:textId="77777777" w:rsidR="004955FE" w:rsidRPr="0012613C" w:rsidRDefault="004955FE" w:rsidP="004955FE">
      <w:pPr>
        <w:numPr>
          <w:ilvl w:val="0"/>
          <w:numId w:val="27"/>
        </w:numPr>
        <w:jc w:val="both"/>
      </w:pPr>
      <w:r w:rsidRPr="0012613C">
        <w:lastRenderedPageBreak/>
        <w:t xml:space="preserve">In addition to booking the procedure with the Neuropathology Department in advance, ensure that a pot of </w:t>
      </w:r>
      <w:r>
        <w:t>formalin</w:t>
      </w:r>
      <w:r w:rsidRPr="0012613C">
        <w:t xml:space="preserve"> fixative will be available at the time of biopsy.  We can provide this, together with appropriate packaging, but allow sufficient time for it to be sent. </w:t>
      </w:r>
    </w:p>
    <w:p w14:paraId="1E4B3227" w14:textId="77777777" w:rsidR="004955FE" w:rsidRPr="0012613C" w:rsidRDefault="004955FE" w:rsidP="004955FE">
      <w:pPr>
        <w:numPr>
          <w:ilvl w:val="0"/>
          <w:numId w:val="27"/>
        </w:numPr>
        <w:jc w:val="both"/>
      </w:pPr>
      <w:r>
        <w:t>If</w:t>
      </w:r>
      <w:r w:rsidRPr="0012613C">
        <w:t xml:space="preserve"> there is no need to send an unfixed specimen to the Neuropathology Department, there is no</w:t>
      </w:r>
      <w:r>
        <w:t xml:space="preserve"> </w:t>
      </w:r>
      <w:r w:rsidRPr="0012613C">
        <w:t>urgency in delivering the specimen</w:t>
      </w:r>
      <w:r>
        <w:t xml:space="preserve"> if placed in formalin fixative</w:t>
      </w:r>
      <w:r w:rsidRPr="0012613C">
        <w:t>.  If it is not possible for the specimen to be delivered personally, it can be sent, either by hospital transport, or by courier, or through the post following the appropriate Royal Mail guidelines regarding packaging and labelling.</w:t>
      </w:r>
    </w:p>
    <w:p w14:paraId="45CFC29B" w14:textId="77777777" w:rsidR="004955FE" w:rsidRPr="0012613C" w:rsidRDefault="004955FE" w:rsidP="004955FE">
      <w:pPr>
        <w:numPr>
          <w:ilvl w:val="0"/>
          <w:numId w:val="27"/>
        </w:numPr>
      </w:pPr>
      <w:r w:rsidRPr="0012613C">
        <w:t>Please notify the laboratory once the specimen has been despatched, to provide us with an expected delivery time.</w:t>
      </w:r>
      <w:r>
        <w:t xml:space="preserve"> Please ensure if sending fresh the sample reaches that laboratory </w:t>
      </w:r>
      <w:r w:rsidRPr="00E96C13">
        <w:rPr>
          <w:u w:val="single"/>
        </w:rPr>
        <w:t>no later than 4pm (Mon-Friday).</w:t>
      </w:r>
    </w:p>
    <w:p w14:paraId="4E69963D" w14:textId="77777777" w:rsidR="004955FE" w:rsidRPr="0012613C" w:rsidRDefault="004955FE" w:rsidP="004955FE">
      <w:pPr>
        <w:ind w:left="360"/>
      </w:pPr>
    </w:p>
    <w:p w14:paraId="43B58B82" w14:textId="77777777" w:rsidR="004955FE" w:rsidRPr="0012613C" w:rsidRDefault="004955FE" w:rsidP="004955FE">
      <w:pPr>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6122"/>
      </w:tblGrid>
      <w:tr w:rsidR="004955FE" w:rsidRPr="0012613C" w14:paraId="394C1F2F" w14:textId="77777777" w:rsidTr="00480A9A">
        <w:tc>
          <w:tcPr>
            <w:tcW w:w="1980" w:type="dxa"/>
            <w:tcBorders>
              <w:top w:val="single" w:sz="4" w:space="0" w:color="auto"/>
              <w:left w:val="single" w:sz="4" w:space="0" w:color="auto"/>
              <w:bottom w:val="single" w:sz="4" w:space="0" w:color="auto"/>
              <w:right w:val="single" w:sz="4" w:space="0" w:color="auto"/>
            </w:tcBorders>
          </w:tcPr>
          <w:p w14:paraId="26B5E2E7" w14:textId="77777777" w:rsidR="004955FE" w:rsidRPr="0012613C" w:rsidRDefault="004955FE" w:rsidP="00480A9A">
            <w:pPr>
              <w:rPr>
                <w:b/>
              </w:rPr>
            </w:pPr>
            <w:r w:rsidRPr="0012613C">
              <w:rPr>
                <w:b/>
              </w:rPr>
              <w:t>Specimen Preparation</w:t>
            </w:r>
          </w:p>
        </w:tc>
        <w:tc>
          <w:tcPr>
            <w:tcW w:w="6241" w:type="dxa"/>
            <w:tcBorders>
              <w:top w:val="single" w:sz="4" w:space="0" w:color="auto"/>
              <w:left w:val="single" w:sz="4" w:space="0" w:color="auto"/>
              <w:bottom w:val="single" w:sz="4" w:space="0" w:color="auto"/>
              <w:right w:val="single" w:sz="4" w:space="0" w:color="auto"/>
            </w:tcBorders>
          </w:tcPr>
          <w:p w14:paraId="2ACE883E" w14:textId="77777777" w:rsidR="004955FE" w:rsidRDefault="004955FE" w:rsidP="00480A9A">
            <w:pPr>
              <w:jc w:val="both"/>
            </w:pPr>
            <w:r w:rsidRPr="0012613C">
              <w:t xml:space="preserve">Ideally, the excised specimen should be at least 2cm in length.  After excision, place it on a piece of dental wax </w:t>
            </w:r>
            <w:r w:rsidRPr="0012613C">
              <w:rPr>
                <w:i/>
              </w:rPr>
              <w:t>at room temperature</w:t>
            </w:r>
            <w:r w:rsidRPr="0012613C">
              <w:t xml:space="preserve">.  </w:t>
            </w:r>
          </w:p>
          <w:p w14:paraId="504D8192" w14:textId="77777777" w:rsidR="004955FE" w:rsidRPr="00832C69" w:rsidRDefault="004955FE" w:rsidP="00480A9A">
            <w:pPr>
              <w:jc w:val="both"/>
              <w:rPr>
                <w:u w:val="single"/>
              </w:rPr>
            </w:pPr>
            <w:r w:rsidRPr="00832C69">
              <w:rPr>
                <w:u w:val="single"/>
              </w:rPr>
              <w:t>If sending fresh tissue:</w:t>
            </w:r>
          </w:p>
          <w:p w14:paraId="4870B014" w14:textId="77777777" w:rsidR="004955FE" w:rsidRPr="00832C69" w:rsidRDefault="004955FE" w:rsidP="00480A9A">
            <w:pPr>
              <w:jc w:val="both"/>
              <w:rPr>
                <w:u w:val="single"/>
              </w:rPr>
            </w:pPr>
            <w:r w:rsidRPr="00832C69">
              <w:t xml:space="preserve">Nerve biopsies can be left for up to 1 hour at room temperature after the biopsy was taken, before being dealt with. If you think the sample will take longer </w:t>
            </w:r>
            <w:r>
              <w:t xml:space="preserve">to arrive </w:t>
            </w:r>
            <w:r w:rsidRPr="00832C69">
              <w:t>then carry out the following -</w:t>
            </w:r>
          </w:p>
          <w:p w14:paraId="261FDAA4" w14:textId="77777777" w:rsidR="004955FE" w:rsidRDefault="004955FE" w:rsidP="00480A9A">
            <w:pPr>
              <w:jc w:val="both"/>
              <w:rPr>
                <w:highlight w:val="yellow"/>
              </w:rPr>
            </w:pPr>
            <w:r w:rsidRPr="00832C69">
              <w:t xml:space="preserve">Divide transversely (approx. 2:1 ratio) into two pieces.  Place the larger piece (at least 1cm long) into the formalin fixative which </w:t>
            </w:r>
            <w:r w:rsidRPr="00832C69">
              <w:rPr>
                <w:i/>
              </w:rPr>
              <w:t>must be at room temperature</w:t>
            </w:r>
            <w:r>
              <w:t xml:space="preserve"> for paraffin histology and EM.  Place the fresh piece into a universal container carefully wrapped in cling film. </w:t>
            </w:r>
          </w:p>
          <w:p w14:paraId="2F138438" w14:textId="7382B5F3" w:rsidR="004955FE" w:rsidRDefault="00FE0DF0" w:rsidP="00480A9A">
            <w:pPr>
              <w:rPr>
                <w:highlight w:val="yellow"/>
              </w:rPr>
            </w:pPr>
            <w:r>
              <w:rPr>
                <w:noProof/>
              </w:rPr>
              <w:drawing>
                <wp:inline distT="0" distB="0" distL="0" distR="0" wp14:anchorId="5771885A" wp14:editId="0D26580C">
                  <wp:extent cx="3642360" cy="13182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2360" cy="1318260"/>
                          </a:xfrm>
                          <a:prstGeom prst="rect">
                            <a:avLst/>
                          </a:prstGeom>
                          <a:noFill/>
                          <a:ln>
                            <a:noFill/>
                          </a:ln>
                        </pic:spPr>
                      </pic:pic>
                    </a:graphicData>
                  </a:graphic>
                </wp:inline>
              </w:drawing>
            </w:r>
          </w:p>
          <w:p w14:paraId="1AC42C7E" w14:textId="77777777" w:rsidR="004955FE" w:rsidRPr="00D007C2" w:rsidRDefault="004955FE" w:rsidP="00480A9A">
            <w:pPr>
              <w:rPr>
                <w:u w:val="single"/>
              </w:rPr>
            </w:pPr>
            <w:r>
              <w:rPr>
                <w:u w:val="single"/>
              </w:rPr>
              <w:t>I</w:t>
            </w:r>
            <w:r w:rsidRPr="00D007C2">
              <w:rPr>
                <w:u w:val="single"/>
              </w:rPr>
              <w:t>f sending fixed tissue only:</w:t>
            </w:r>
          </w:p>
          <w:p w14:paraId="72EB9092" w14:textId="77777777" w:rsidR="004955FE" w:rsidRPr="0012613C" w:rsidRDefault="004955FE" w:rsidP="00480A9A">
            <w:r w:rsidRPr="00D007C2">
              <w:t>The entire nerve biopsy can be immersed in formalin and sent</w:t>
            </w:r>
          </w:p>
          <w:p w14:paraId="52163716" w14:textId="77777777" w:rsidR="004955FE" w:rsidRPr="0012613C" w:rsidRDefault="004955FE" w:rsidP="00480A9A"/>
        </w:tc>
      </w:tr>
      <w:tr w:rsidR="004955FE" w:rsidRPr="0012613C" w14:paraId="3150634D" w14:textId="77777777" w:rsidTr="00480A9A">
        <w:tc>
          <w:tcPr>
            <w:tcW w:w="1980" w:type="dxa"/>
            <w:tcBorders>
              <w:top w:val="single" w:sz="4" w:space="0" w:color="auto"/>
              <w:left w:val="single" w:sz="4" w:space="0" w:color="auto"/>
              <w:bottom w:val="single" w:sz="4" w:space="0" w:color="auto"/>
              <w:right w:val="single" w:sz="4" w:space="0" w:color="auto"/>
            </w:tcBorders>
          </w:tcPr>
          <w:p w14:paraId="38551FE6" w14:textId="77777777" w:rsidR="004955FE" w:rsidRPr="0012613C" w:rsidRDefault="004955FE" w:rsidP="00480A9A">
            <w:r w:rsidRPr="0012613C">
              <w:rPr>
                <w:b/>
              </w:rPr>
              <w:t>Packaging and Transportation</w:t>
            </w:r>
          </w:p>
        </w:tc>
        <w:tc>
          <w:tcPr>
            <w:tcW w:w="6241" w:type="dxa"/>
            <w:tcBorders>
              <w:top w:val="single" w:sz="4" w:space="0" w:color="auto"/>
              <w:left w:val="single" w:sz="4" w:space="0" w:color="auto"/>
              <w:bottom w:val="single" w:sz="4" w:space="0" w:color="auto"/>
              <w:right w:val="single" w:sz="4" w:space="0" w:color="auto"/>
            </w:tcBorders>
          </w:tcPr>
          <w:p w14:paraId="34B57B85" w14:textId="77777777" w:rsidR="004955FE" w:rsidRPr="0012613C" w:rsidRDefault="004955FE" w:rsidP="00480A9A">
            <w:pPr>
              <w:jc w:val="both"/>
            </w:pPr>
            <w:r w:rsidRPr="0012613C">
              <w:t>The specimen pots must be clearly labelled and placed in a seal-able specimen bag.  Refer to the notes above regarding delivery to the Neuropathology Department.</w:t>
            </w:r>
          </w:p>
        </w:tc>
      </w:tr>
      <w:tr w:rsidR="004955FE" w:rsidRPr="0012613C" w14:paraId="55CFC9A6" w14:textId="77777777" w:rsidTr="00480A9A">
        <w:trPr>
          <w:cantSplit/>
        </w:trPr>
        <w:tc>
          <w:tcPr>
            <w:tcW w:w="1980" w:type="dxa"/>
            <w:tcBorders>
              <w:top w:val="single" w:sz="4" w:space="0" w:color="auto"/>
              <w:left w:val="single" w:sz="4" w:space="0" w:color="auto"/>
              <w:bottom w:val="single" w:sz="4" w:space="0" w:color="auto"/>
              <w:right w:val="single" w:sz="4" w:space="0" w:color="auto"/>
            </w:tcBorders>
          </w:tcPr>
          <w:p w14:paraId="73FE4D79" w14:textId="77777777" w:rsidR="004955FE" w:rsidRPr="0012613C" w:rsidRDefault="004955FE" w:rsidP="00480A9A">
            <w:pPr>
              <w:rPr>
                <w:b/>
              </w:rPr>
            </w:pPr>
            <w:r w:rsidRPr="0012613C">
              <w:rPr>
                <w:b/>
              </w:rPr>
              <w:lastRenderedPageBreak/>
              <w:t>Accompanying Information</w:t>
            </w:r>
          </w:p>
        </w:tc>
        <w:tc>
          <w:tcPr>
            <w:tcW w:w="6241" w:type="dxa"/>
            <w:tcBorders>
              <w:top w:val="single" w:sz="4" w:space="0" w:color="auto"/>
              <w:left w:val="single" w:sz="4" w:space="0" w:color="auto"/>
              <w:bottom w:val="single" w:sz="4" w:space="0" w:color="auto"/>
              <w:right w:val="single" w:sz="4" w:space="0" w:color="auto"/>
            </w:tcBorders>
          </w:tcPr>
          <w:p w14:paraId="7DEF0640" w14:textId="77777777" w:rsidR="004955FE" w:rsidRPr="0012613C" w:rsidRDefault="004955FE" w:rsidP="00480A9A">
            <w:pPr>
              <w:spacing w:before="240"/>
              <w:jc w:val="both"/>
            </w:pPr>
            <w:r w:rsidRPr="0012613C">
              <w:t>Completed green Neuropatholo</w:t>
            </w:r>
            <w:r>
              <w:t>gy request form,</w:t>
            </w:r>
            <w:r w:rsidRPr="0012613C">
              <w:t xml:space="preserve"> placed in the separate pocket of the specimen bag (if this has not previously been sent to the department) </w:t>
            </w:r>
          </w:p>
        </w:tc>
      </w:tr>
      <w:tr w:rsidR="004955FE" w:rsidRPr="0012613C" w14:paraId="698E6B86" w14:textId="77777777" w:rsidTr="00480A9A">
        <w:tc>
          <w:tcPr>
            <w:tcW w:w="1980" w:type="dxa"/>
            <w:tcBorders>
              <w:top w:val="single" w:sz="4" w:space="0" w:color="auto"/>
              <w:left w:val="single" w:sz="4" w:space="0" w:color="auto"/>
              <w:bottom w:val="single" w:sz="4" w:space="0" w:color="auto"/>
              <w:right w:val="single" w:sz="4" w:space="0" w:color="auto"/>
            </w:tcBorders>
          </w:tcPr>
          <w:p w14:paraId="1F77BDA6" w14:textId="77777777" w:rsidR="004955FE" w:rsidRPr="0012613C" w:rsidRDefault="004955FE" w:rsidP="00480A9A">
            <w:pPr>
              <w:rPr>
                <w:b/>
              </w:rPr>
            </w:pPr>
            <w:r w:rsidRPr="0012613C">
              <w:rPr>
                <w:b/>
              </w:rPr>
              <w:t>Point of Delivery</w:t>
            </w:r>
          </w:p>
        </w:tc>
        <w:tc>
          <w:tcPr>
            <w:tcW w:w="6241" w:type="dxa"/>
            <w:tcBorders>
              <w:top w:val="single" w:sz="4" w:space="0" w:color="auto"/>
              <w:left w:val="single" w:sz="4" w:space="0" w:color="auto"/>
              <w:bottom w:val="single" w:sz="4" w:space="0" w:color="auto"/>
              <w:right w:val="single" w:sz="4" w:space="0" w:color="auto"/>
            </w:tcBorders>
          </w:tcPr>
          <w:p w14:paraId="4FB342B3" w14:textId="77777777" w:rsidR="004955FE" w:rsidRPr="0012613C" w:rsidRDefault="004955FE" w:rsidP="00480A9A">
            <w:pPr>
              <w:jc w:val="both"/>
            </w:pPr>
            <w:r w:rsidRPr="0012613C">
              <w:t>Neuropathology Main Laboratory or Cellular Pathology and Neuropathology Specimen Reception, Pathology Sciences Building. If delivered to Specimen Reception, ensure the Neuropathology Department is contacted by telephone. Neuropathology has a sample box located on the counter in the Specimen Reception. This box is routinely checked throughout Neuropathology’s hours of business so biopsy samples (</w:t>
            </w:r>
            <w:r w:rsidRPr="0012613C">
              <w:rPr>
                <w:b/>
              </w:rPr>
              <w:t>in fixative</w:t>
            </w:r>
            <w:r w:rsidRPr="0012613C">
              <w:t>) can be left in here.</w:t>
            </w:r>
          </w:p>
          <w:p w14:paraId="2B12AC1D" w14:textId="77777777" w:rsidR="004955FE" w:rsidRPr="0012613C" w:rsidRDefault="004955FE" w:rsidP="00480A9A">
            <w:pPr>
              <w:jc w:val="both"/>
            </w:pPr>
            <w:r w:rsidRPr="0012613C">
              <w:t>Alternatively, specimens from other hospitals can be sent to the Department by post or courier service provided they are appropriately and securely packed. In this case please notify the laboratory t</w:t>
            </w:r>
            <w:r>
              <w:t>hat you are sending the sample (contact 0117 424 2400)</w:t>
            </w:r>
          </w:p>
          <w:p w14:paraId="06619B45" w14:textId="77777777" w:rsidR="004955FE" w:rsidRPr="0012613C" w:rsidRDefault="004955FE" w:rsidP="00480A9A"/>
        </w:tc>
      </w:tr>
    </w:tbl>
    <w:p w14:paraId="17BFDC22" w14:textId="77777777" w:rsidR="004955FE" w:rsidRPr="0012613C" w:rsidRDefault="004955FE" w:rsidP="004955FE">
      <w:pPr>
        <w:keepNext/>
        <w:tabs>
          <w:tab w:val="left" w:pos="720"/>
        </w:tabs>
        <w:spacing w:before="240" w:after="60"/>
        <w:outlineLvl w:val="0"/>
        <w:rPr>
          <w:rFonts w:ascii="Arial Rounded MT Bold" w:hAnsi="Arial Rounded MT Bold" w:cs="Arial"/>
          <w:b/>
          <w:bCs/>
          <w:kern w:val="32"/>
          <w:sz w:val="28"/>
          <w:szCs w:val="32"/>
        </w:rPr>
      </w:pPr>
    </w:p>
    <w:p w14:paraId="366CBFC5" w14:textId="77777777" w:rsidR="004955FE" w:rsidRDefault="004955FE" w:rsidP="004955FE">
      <w:pPr>
        <w:ind w:left="720"/>
      </w:pPr>
    </w:p>
    <w:p w14:paraId="0505C3FC" w14:textId="77777777" w:rsidR="004955FE" w:rsidRDefault="004955FE" w:rsidP="004955FE"/>
    <w:p w14:paraId="493C3EBD" w14:textId="77777777" w:rsidR="004955FE" w:rsidRDefault="004955FE" w:rsidP="004955FE">
      <w:pPr>
        <w:pStyle w:val="SectionL2"/>
        <w:jc w:val="center"/>
        <w:rPr>
          <w:b w:val="0"/>
        </w:rPr>
      </w:pPr>
      <w:r w:rsidRPr="00143661">
        <w:rPr>
          <w:b w:val="0"/>
        </w:rPr>
        <w:t>THIS IS A CONTROLLED DOCUMENT</w:t>
      </w:r>
    </w:p>
    <w:p w14:paraId="273FA83C" w14:textId="77777777" w:rsidR="004955FE" w:rsidRDefault="004955FE" w:rsidP="004955FE">
      <w:pPr>
        <w:pStyle w:val="IndentL2"/>
      </w:pPr>
    </w:p>
    <w:p w14:paraId="5025DBE4" w14:textId="77777777" w:rsidR="003D682C" w:rsidRPr="003D682C" w:rsidRDefault="003D682C" w:rsidP="00CF1D9C">
      <w:pPr>
        <w:pStyle w:val="IndentL2"/>
        <w:ind w:left="0"/>
      </w:pPr>
    </w:p>
    <w:sectPr w:rsidR="003D682C" w:rsidRPr="003D682C">
      <w:headerReference w:type="default" r:id="rId9"/>
      <w:footerReference w:type="default" r:id="rId10"/>
      <w:headerReference w:type="first" r:id="rId11"/>
      <w:footerReference w:type="first" r:id="rId12"/>
      <w:pgSz w:w="11906" w:h="16838" w:code="9"/>
      <w:pgMar w:top="1701" w:right="1418" w:bottom="1701"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BC771" w14:textId="77777777" w:rsidR="007E3A48" w:rsidRDefault="007E3A48">
      <w:r>
        <w:separator/>
      </w:r>
    </w:p>
  </w:endnote>
  <w:endnote w:type="continuationSeparator" w:id="0">
    <w:p w14:paraId="0514100C" w14:textId="77777777" w:rsidR="007E3A48" w:rsidRDefault="007E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5506" w14:textId="77777777" w:rsidR="00CC3E25" w:rsidRDefault="00443DC3">
    <w:pPr>
      <w:pStyle w:val="Footer"/>
      <w:rPr>
        <w:sz w:val="16"/>
        <w:szCs w:val="16"/>
      </w:rPr>
    </w:pPr>
    <w:r>
      <w:rPr>
        <w:sz w:val="18"/>
        <w:szCs w:val="18"/>
      </w:rPr>
      <w:t>NP/MGT/FM/021</w:t>
    </w:r>
    <w:r w:rsidR="00CF1D9C">
      <w:rPr>
        <w:sz w:val="18"/>
        <w:szCs w:val="18"/>
      </w:rPr>
      <w:t>v4</w:t>
    </w:r>
    <w:r w:rsidR="00CC3E25">
      <w:rPr>
        <w:sz w:val="16"/>
        <w:szCs w:val="16"/>
      </w:rPr>
      <w:tab/>
    </w:r>
    <w:r w:rsidR="00CC3E25">
      <w:rPr>
        <w:sz w:val="16"/>
        <w:szCs w:val="16"/>
      </w:rPr>
      <w:tab/>
      <w:t xml:space="preserve">Page </w:t>
    </w:r>
    <w:r w:rsidR="00CC3E25">
      <w:rPr>
        <w:sz w:val="16"/>
        <w:szCs w:val="16"/>
      </w:rPr>
      <w:fldChar w:fldCharType="begin"/>
    </w:r>
    <w:r w:rsidR="00CC3E25">
      <w:rPr>
        <w:sz w:val="16"/>
        <w:szCs w:val="16"/>
      </w:rPr>
      <w:instrText xml:space="preserve"> PAGE </w:instrText>
    </w:r>
    <w:r w:rsidR="00CC3E25">
      <w:rPr>
        <w:sz w:val="16"/>
        <w:szCs w:val="16"/>
      </w:rPr>
      <w:fldChar w:fldCharType="separate"/>
    </w:r>
    <w:r w:rsidR="00C3434C">
      <w:rPr>
        <w:noProof/>
        <w:sz w:val="16"/>
        <w:szCs w:val="16"/>
      </w:rPr>
      <w:t>2</w:t>
    </w:r>
    <w:r w:rsidR="00CC3E25">
      <w:rPr>
        <w:sz w:val="16"/>
        <w:szCs w:val="16"/>
      </w:rPr>
      <w:fldChar w:fldCharType="end"/>
    </w:r>
    <w:r w:rsidR="00CC3E25">
      <w:rPr>
        <w:sz w:val="16"/>
        <w:szCs w:val="16"/>
      </w:rPr>
      <w:t xml:space="preserve"> of </w:t>
    </w:r>
    <w:r w:rsidR="00CC3E25">
      <w:rPr>
        <w:sz w:val="16"/>
        <w:szCs w:val="16"/>
      </w:rPr>
      <w:fldChar w:fldCharType="begin"/>
    </w:r>
    <w:r w:rsidR="00CC3E25">
      <w:rPr>
        <w:sz w:val="16"/>
        <w:szCs w:val="16"/>
      </w:rPr>
      <w:instrText xml:space="preserve"> NUMPAGES </w:instrText>
    </w:r>
    <w:r w:rsidR="00CC3E25">
      <w:rPr>
        <w:sz w:val="16"/>
        <w:szCs w:val="16"/>
      </w:rPr>
      <w:fldChar w:fldCharType="separate"/>
    </w:r>
    <w:r w:rsidR="00C3434C">
      <w:rPr>
        <w:noProof/>
        <w:sz w:val="16"/>
        <w:szCs w:val="16"/>
      </w:rPr>
      <w:t>4</w:t>
    </w:r>
    <w:r w:rsidR="00CC3E2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0361C" w14:textId="77777777" w:rsidR="00CC3E25" w:rsidRPr="00CF1D9C" w:rsidRDefault="00513A36">
    <w:pPr>
      <w:pStyle w:val="Footer"/>
      <w:pBdr>
        <w:top w:val="single" w:sz="4" w:space="5" w:color="auto"/>
      </w:pBdr>
      <w:rPr>
        <w:rFonts w:ascii="Arial" w:hAnsi="Arial" w:cs="Arial"/>
        <w:sz w:val="22"/>
        <w:szCs w:val="22"/>
      </w:rPr>
    </w:pPr>
    <w:r w:rsidRPr="00CF1D9C">
      <w:rPr>
        <w:rFonts w:ascii="Arial" w:hAnsi="Arial" w:cs="Arial"/>
        <w:sz w:val="22"/>
        <w:szCs w:val="22"/>
      </w:rPr>
      <w:t>NP/MGT/FM/02</w:t>
    </w:r>
    <w:r w:rsidR="004955FE">
      <w:rPr>
        <w:rFonts w:ascii="Arial" w:hAnsi="Arial" w:cs="Arial"/>
        <w:sz w:val="22"/>
        <w:szCs w:val="22"/>
      </w:rPr>
      <w:t>2</w:t>
    </w:r>
    <w:r w:rsidR="00CF1D9C" w:rsidRPr="00CF1D9C">
      <w:rPr>
        <w:rFonts w:ascii="Arial" w:hAnsi="Arial" w:cs="Arial"/>
        <w:sz w:val="22"/>
        <w:szCs w:val="22"/>
      </w:rPr>
      <w:t>v4</w:t>
    </w:r>
    <w:r w:rsidR="00CC3E25" w:rsidRPr="00CF1D9C">
      <w:rPr>
        <w:rFonts w:ascii="Arial" w:hAnsi="Arial" w:cs="Arial"/>
        <w:sz w:val="22"/>
        <w:szCs w:val="22"/>
      </w:rPr>
      <w:tab/>
    </w:r>
    <w:r w:rsidR="00CC3E25" w:rsidRPr="00CF1D9C">
      <w:rPr>
        <w:rFonts w:ascii="Arial" w:hAnsi="Arial" w:cs="Arial"/>
        <w:sz w:val="22"/>
        <w:szCs w:val="22"/>
      </w:rPr>
      <w:tab/>
      <w:t xml:space="preserve">Page </w:t>
    </w:r>
    <w:r w:rsidR="00CC3E25" w:rsidRPr="00CF1D9C">
      <w:rPr>
        <w:rFonts w:ascii="Arial" w:hAnsi="Arial" w:cs="Arial"/>
        <w:sz w:val="22"/>
        <w:szCs w:val="22"/>
      </w:rPr>
      <w:fldChar w:fldCharType="begin"/>
    </w:r>
    <w:r w:rsidR="00CC3E25" w:rsidRPr="00CF1D9C">
      <w:rPr>
        <w:rFonts w:ascii="Arial" w:hAnsi="Arial" w:cs="Arial"/>
        <w:sz w:val="22"/>
        <w:szCs w:val="22"/>
      </w:rPr>
      <w:instrText xml:space="preserve"> PAGE </w:instrText>
    </w:r>
    <w:r w:rsidR="00CC3E25" w:rsidRPr="00CF1D9C">
      <w:rPr>
        <w:rFonts w:ascii="Arial" w:hAnsi="Arial" w:cs="Arial"/>
        <w:sz w:val="22"/>
        <w:szCs w:val="22"/>
      </w:rPr>
      <w:fldChar w:fldCharType="separate"/>
    </w:r>
    <w:r w:rsidR="00C3434C">
      <w:rPr>
        <w:rFonts w:ascii="Arial" w:hAnsi="Arial" w:cs="Arial"/>
        <w:noProof/>
        <w:sz w:val="22"/>
        <w:szCs w:val="22"/>
      </w:rPr>
      <w:t>1</w:t>
    </w:r>
    <w:r w:rsidR="00CC3E25" w:rsidRPr="00CF1D9C">
      <w:rPr>
        <w:rFonts w:ascii="Arial" w:hAnsi="Arial" w:cs="Arial"/>
        <w:sz w:val="22"/>
        <w:szCs w:val="22"/>
      </w:rPr>
      <w:fldChar w:fldCharType="end"/>
    </w:r>
    <w:r w:rsidR="00CC3E25" w:rsidRPr="00CF1D9C">
      <w:rPr>
        <w:rFonts w:ascii="Arial" w:hAnsi="Arial" w:cs="Arial"/>
        <w:sz w:val="22"/>
        <w:szCs w:val="22"/>
      </w:rPr>
      <w:t xml:space="preserve"> of </w:t>
    </w:r>
    <w:r w:rsidR="00CC3E25" w:rsidRPr="00CF1D9C">
      <w:rPr>
        <w:rFonts w:ascii="Arial" w:hAnsi="Arial" w:cs="Arial"/>
        <w:sz w:val="22"/>
        <w:szCs w:val="22"/>
      </w:rPr>
      <w:fldChar w:fldCharType="begin"/>
    </w:r>
    <w:r w:rsidR="00CC3E25" w:rsidRPr="00CF1D9C">
      <w:rPr>
        <w:rFonts w:ascii="Arial" w:hAnsi="Arial" w:cs="Arial"/>
        <w:sz w:val="22"/>
        <w:szCs w:val="22"/>
      </w:rPr>
      <w:instrText xml:space="preserve"> NUMPAGES </w:instrText>
    </w:r>
    <w:r w:rsidR="00CC3E25" w:rsidRPr="00CF1D9C">
      <w:rPr>
        <w:rFonts w:ascii="Arial" w:hAnsi="Arial" w:cs="Arial"/>
        <w:sz w:val="22"/>
        <w:szCs w:val="22"/>
      </w:rPr>
      <w:fldChar w:fldCharType="separate"/>
    </w:r>
    <w:r w:rsidR="00C3434C">
      <w:rPr>
        <w:rFonts w:ascii="Arial" w:hAnsi="Arial" w:cs="Arial"/>
        <w:noProof/>
        <w:sz w:val="22"/>
        <w:szCs w:val="22"/>
      </w:rPr>
      <w:t>4</w:t>
    </w:r>
    <w:r w:rsidR="00CC3E25" w:rsidRPr="00CF1D9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8CC52" w14:textId="77777777" w:rsidR="007E3A48" w:rsidRDefault="007E3A48">
      <w:r>
        <w:separator/>
      </w:r>
    </w:p>
  </w:footnote>
  <w:footnote w:type="continuationSeparator" w:id="0">
    <w:p w14:paraId="0EB06753" w14:textId="77777777" w:rsidR="007E3A48" w:rsidRDefault="007E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45B62" w14:textId="77777777" w:rsidR="00CC3E25" w:rsidRDefault="00CC3E25">
    <w:pPr>
      <w:pStyle w:val="Header"/>
      <w:pBdr>
        <w:top w:val="none" w:sz="0" w:space="0" w:color="auto"/>
        <w:bottom w:val="none" w:sz="0" w:space="0" w:color="auto"/>
      </w:pBdr>
      <w:shd w:val="clear" w:color="auto" w:fill="auto"/>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F5DA" w14:textId="77777777" w:rsidR="00CC3E25" w:rsidRPr="00A32ED5" w:rsidRDefault="00CC3E25">
    <w:pPr>
      <w:pStyle w:val="Header"/>
      <w:tabs>
        <w:tab w:val="clear" w:pos="5580"/>
        <w:tab w:val="left" w:pos="4500"/>
      </w:tabs>
      <w:rPr>
        <w:rFonts w:ascii="Arial" w:hAnsi="Arial" w:cs="Arial"/>
        <w:sz w:val="24"/>
      </w:rPr>
    </w:pPr>
    <w:r w:rsidRPr="00A32ED5">
      <w:rPr>
        <w:rFonts w:ascii="Arial" w:hAnsi="Arial" w:cs="Arial"/>
        <w:sz w:val="24"/>
      </w:rPr>
      <w:t>North Bristol NHS Trust</w:t>
    </w:r>
    <w:r w:rsidRPr="00A32ED5">
      <w:rPr>
        <w:rFonts w:ascii="Arial" w:hAnsi="Arial" w:cs="Arial"/>
        <w:sz w:val="24"/>
      </w:rPr>
      <w:tab/>
    </w:r>
    <w:r w:rsidR="00A32ED5" w:rsidRPr="00A32ED5">
      <w:rPr>
        <w:rFonts w:ascii="Arial" w:hAnsi="Arial" w:cs="Arial"/>
        <w:sz w:val="24"/>
      </w:rPr>
      <w:t xml:space="preserve">     </w:t>
    </w:r>
    <w:r w:rsidRPr="00A32ED5">
      <w:rPr>
        <w:rFonts w:ascii="Arial" w:hAnsi="Arial" w:cs="Arial"/>
        <w:sz w:val="24"/>
      </w:rPr>
      <w:t>Department of Neuropathology</w:t>
    </w:r>
  </w:p>
  <w:p w14:paraId="28734BAB" w14:textId="77777777" w:rsidR="00CC3E25" w:rsidRDefault="00CC3E25">
    <w:pPr>
      <w:pStyle w:val="Header"/>
      <w:pBdr>
        <w:top w:val="none" w:sz="0" w:space="0" w:color="auto"/>
        <w:bottom w:val="none" w:sz="0" w:space="0" w:color="auto"/>
      </w:pBdr>
      <w:tabs>
        <w:tab w:val="clear" w:pos="5580"/>
        <w:tab w:val="left" w:pos="4500"/>
        <w:tab w:val="left" w:pos="6300"/>
      </w:tabs>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0AFB"/>
    <w:multiLevelType w:val="hybridMultilevel"/>
    <w:tmpl w:val="28C80870"/>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A80C09"/>
    <w:multiLevelType w:val="multilevel"/>
    <w:tmpl w:val="73D2D6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631905"/>
    <w:multiLevelType w:val="multilevel"/>
    <w:tmpl w:val="115066CC"/>
    <w:lvl w:ilvl="0">
      <w:start w:val="1"/>
      <w:numFmt w:val="decimal"/>
      <w:lvlText w:val="%1"/>
      <w:lvlJc w:val="left"/>
      <w:pPr>
        <w:tabs>
          <w:tab w:val="num" w:pos="1080"/>
        </w:tabs>
        <w:ind w:left="1080" w:hanging="720"/>
      </w:pPr>
      <w:rPr>
        <w:rFonts w:hint="default"/>
      </w:rPr>
    </w:lvl>
    <w:lvl w:ilvl="1">
      <w:start w:val="1"/>
      <w:numFmt w:val="decimal"/>
      <w:pStyle w:val="DocTitl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765B53"/>
    <w:multiLevelType w:val="hybridMultilevel"/>
    <w:tmpl w:val="997228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4341CC"/>
    <w:multiLevelType w:val="multilevel"/>
    <w:tmpl w:val="F730AA3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536425C"/>
    <w:multiLevelType w:val="hybridMultilevel"/>
    <w:tmpl w:val="0C1869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F758F"/>
    <w:multiLevelType w:val="multilevel"/>
    <w:tmpl w:val="9CBAF37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65703FA"/>
    <w:multiLevelType w:val="hybridMultilevel"/>
    <w:tmpl w:val="632641BE"/>
    <w:lvl w:ilvl="0" w:tplc="C21082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49394A"/>
    <w:multiLevelType w:val="hybridMultilevel"/>
    <w:tmpl w:val="3A40226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994459"/>
    <w:multiLevelType w:val="hybridMultilevel"/>
    <w:tmpl w:val="EBD4CA72"/>
    <w:lvl w:ilvl="0" w:tplc="1CE00674">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A62FE8"/>
    <w:multiLevelType w:val="hybridMultilevel"/>
    <w:tmpl w:val="21AC48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70726E"/>
    <w:multiLevelType w:val="hybridMultilevel"/>
    <w:tmpl w:val="826A91A6"/>
    <w:lvl w:ilvl="0" w:tplc="8FC4F0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DE58C1"/>
    <w:multiLevelType w:val="multilevel"/>
    <w:tmpl w:val="71F8BB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38444007"/>
    <w:multiLevelType w:val="multilevel"/>
    <w:tmpl w:val="76201D9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E865751"/>
    <w:multiLevelType w:val="hybridMultilevel"/>
    <w:tmpl w:val="2432FE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8B163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BB2EAE"/>
    <w:multiLevelType w:val="hybridMultilevel"/>
    <w:tmpl w:val="F3B40970"/>
    <w:lvl w:ilvl="0" w:tplc="C21082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5D0856"/>
    <w:multiLevelType w:val="hybridMultilevel"/>
    <w:tmpl w:val="157EE5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862D57"/>
    <w:multiLevelType w:val="hybridMultilevel"/>
    <w:tmpl w:val="312E121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842F31"/>
    <w:multiLevelType w:val="multilevel"/>
    <w:tmpl w:val="C742EAFE"/>
    <w:lvl w:ilvl="0">
      <w:start w:val="1"/>
      <w:numFmt w:val="decimal"/>
      <w:lvlText w:val="%1"/>
      <w:lvlJc w:val="left"/>
      <w:pPr>
        <w:tabs>
          <w:tab w:val="num" w:pos="1440"/>
        </w:tabs>
        <w:ind w:left="1440" w:hanging="720"/>
      </w:pPr>
      <w:rPr>
        <w:rFonts w:ascii="Century Gothic" w:hAnsi="Century Gothic" w:cs="Times New Roman" w:hint="default"/>
        <w:b w:val="0"/>
        <w:i w:val="0"/>
        <w:sz w:val="20"/>
      </w:rPr>
    </w:lvl>
    <w:lvl w:ilvl="1">
      <w:start w:val="1"/>
      <w:numFmt w:val="decimal"/>
      <w:lvlText w:val="%1.%2"/>
      <w:lvlJc w:val="left"/>
      <w:pPr>
        <w:tabs>
          <w:tab w:val="num" w:pos="2160"/>
        </w:tabs>
        <w:ind w:left="2160" w:hanging="720"/>
      </w:pPr>
      <w:rPr>
        <w:rFonts w:ascii="Century Gothic" w:hAnsi="Century Gothic" w:cs="Times New Roman" w:hint="default"/>
        <w:b w:val="0"/>
        <w:i w:val="0"/>
        <w:sz w:val="20"/>
      </w:rPr>
    </w:lvl>
    <w:lvl w:ilvl="2">
      <w:start w:val="1"/>
      <w:numFmt w:val="decimal"/>
      <w:lvlText w:val="%1.%2.%3"/>
      <w:lvlJc w:val="left"/>
      <w:pPr>
        <w:tabs>
          <w:tab w:val="num" w:pos="2880"/>
        </w:tabs>
        <w:ind w:left="2880" w:hanging="720"/>
      </w:pPr>
      <w:rPr>
        <w:rFonts w:ascii="Century Gothic" w:hAnsi="Century Gothic" w:cs="Times New Roman" w:hint="default"/>
        <w:b w:val="0"/>
        <w:i w:val="0"/>
        <w:sz w:val="20"/>
      </w:rPr>
    </w:lvl>
    <w:lvl w:ilvl="3">
      <w:start w:val="1"/>
      <w:numFmt w:val="decimal"/>
      <w:lvlText w:val="%1.%2.%3.%4"/>
      <w:lvlJc w:val="left"/>
      <w:pPr>
        <w:tabs>
          <w:tab w:val="num" w:pos="3960"/>
        </w:tabs>
        <w:ind w:left="3960" w:hanging="1080"/>
      </w:pPr>
      <w:rPr>
        <w:rFonts w:ascii="Century Gothic" w:hAnsi="Century Gothic" w:cs="Times New Roman" w:hint="default"/>
        <w:b w:val="0"/>
        <w:i w:val="0"/>
        <w:sz w:val="20"/>
      </w:rPr>
    </w:lvl>
    <w:lvl w:ilvl="4">
      <w:start w:val="1"/>
      <w:numFmt w:val="decimal"/>
      <w:lvlText w:val="%1.%2.%3.%4.%5"/>
      <w:lvlJc w:val="left"/>
      <w:pPr>
        <w:tabs>
          <w:tab w:val="num" w:pos="4680"/>
        </w:tabs>
        <w:ind w:left="4680" w:hanging="1080"/>
      </w:pPr>
      <w:rPr>
        <w:rFonts w:ascii="Century Gothic" w:hAnsi="Century Gothic" w:cs="Times New Roman" w:hint="default"/>
        <w:b w:val="0"/>
        <w:i w:val="0"/>
        <w:sz w:val="20"/>
      </w:rPr>
    </w:lvl>
    <w:lvl w:ilvl="5">
      <w:start w:val="1"/>
      <w:numFmt w:val="decimal"/>
      <w:lvlText w:val="%1.%2.%3.%4.%5.%6"/>
      <w:lvlJc w:val="left"/>
      <w:pPr>
        <w:tabs>
          <w:tab w:val="num" w:pos="5760"/>
        </w:tabs>
        <w:ind w:left="5760" w:hanging="1440"/>
      </w:pPr>
      <w:rPr>
        <w:rFonts w:ascii="Century Gothic" w:hAnsi="Century Gothic" w:cs="Times New Roman" w:hint="default"/>
        <w:b w:val="0"/>
        <w:i w:val="0"/>
        <w:sz w:val="20"/>
      </w:rPr>
    </w:lvl>
    <w:lvl w:ilvl="6">
      <w:start w:val="1"/>
      <w:numFmt w:val="decimal"/>
      <w:lvlText w:val="%1.%2.%3.%4.%5.%6.%7"/>
      <w:lvlJc w:val="left"/>
      <w:pPr>
        <w:tabs>
          <w:tab w:val="num" w:pos="6480"/>
        </w:tabs>
        <w:ind w:left="6480" w:hanging="1440"/>
      </w:pPr>
      <w:rPr>
        <w:rFonts w:ascii="Century Gothic" w:hAnsi="Century Gothic" w:cs="Times New Roman" w:hint="default"/>
        <w:b w:val="0"/>
        <w:i w:val="0"/>
        <w:sz w:val="20"/>
      </w:rPr>
    </w:lvl>
    <w:lvl w:ilvl="7">
      <w:start w:val="1"/>
      <w:numFmt w:val="decimal"/>
      <w:lvlText w:val="%1.%2.%3.%4.%5.%6.%7.%8"/>
      <w:lvlJc w:val="left"/>
      <w:pPr>
        <w:tabs>
          <w:tab w:val="num" w:pos="7560"/>
        </w:tabs>
        <w:ind w:left="7560" w:hanging="1800"/>
      </w:pPr>
      <w:rPr>
        <w:rFonts w:ascii="Century Gothic" w:hAnsi="Century Gothic" w:cs="Times New Roman" w:hint="default"/>
        <w:b w:val="0"/>
        <w:i w:val="0"/>
        <w:sz w:val="20"/>
      </w:rPr>
    </w:lvl>
    <w:lvl w:ilvl="8">
      <w:start w:val="1"/>
      <w:numFmt w:val="decimal"/>
      <w:lvlText w:val="%1.%2.%3.%4.%5.%6.%7.%8.%9"/>
      <w:lvlJc w:val="left"/>
      <w:pPr>
        <w:tabs>
          <w:tab w:val="num" w:pos="8280"/>
        </w:tabs>
        <w:ind w:left="8280" w:hanging="1800"/>
      </w:pPr>
      <w:rPr>
        <w:rFonts w:ascii="Century Gothic" w:hAnsi="Century Gothic" w:cs="Times New Roman" w:hint="default"/>
        <w:b w:val="0"/>
        <w:i w:val="0"/>
        <w:sz w:val="20"/>
      </w:rPr>
    </w:lvl>
  </w:abstractNum>
  <w:abstractNum w:abstractNumId="20" w15:restartNumberingAfterBreak="0">
    <w:nsid w:val="54AF1774"/>
    <w:multiLevelType w:val="multilevel"/>
    <w:tmpl w:val="C164980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613C0378"/>
    <w:multiLevelType w:val="multilevel"/>
    <w:tmpl w:val="5C6CEEBA"/>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15:restartNumberingAfterBreak="0">
    <w:nsid w:val="6AD0756C"/>
    <w:multiLevelType w:val="hybridMultilevel"/>
    <w:tmpl w:val="283A8C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AD3714"/>
    <w:multiLevelType w:val="multilevel"/>
    <w:tmpl w:val="73D2D6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9AC1447"/>
    <w:multiLevelType w:val="multilevel"/>
    <w:tmpl w:val="1D6E878C"/>
    <w:lvl w:ilvl="0">
      <w:start w:val="1"/>
      <w:numFmt w:val="decimal"/>
      <w:lvlText w:val="%1"/>
      <w:lvlJc w:val="left"/>
      <w:pPr>
        <w:tabs>
          <w:tab w:val="num" w:pos="720"/>
        </w:tabs>
        <w:ind w:left="720" w:hanging="720"/>
      </w:pPr>
      <w:rPr>
        <w:rFonts w:ascii="Century Gothic" w:hAnsi="Century Gothic" w:cs="Times New Roman" w:hint="default"/>
        <w:b w:val="0"/>
        <w:i w:val="0"/>
        <w:sz w:val="20"/>
      </w:rPr>
    </w:lvl>
    <w:lvl w:ilvl="1">
      <w:start w:val="1"/>
      <w:numFmt w:val="decimal"/>
      <w:lvlText w:val="%1.%2"/>
      <w:lvlJc w:val="left"/>
      <w:pPr>
        <w:tabs>
          <w:tab w:val="num" w:pos="1440"/>
        </w:tabs>
        <w:ind w:left="1440" w:hanging="720"/>
      </w:pPr>
      <w:rPr>
        <w:rFonts w:ascii="Century Gothic" w:hAnsi="Century Gothic" w:cs="Times New Roman" w:hint="default"/>
        <w:b w:val="0"/>
        <w:i w:val="0"/>
        <w:sz w:val="20"/>
      </w:rPr>
    </w:lvl>
    <w:lvl w:ilvl="2">
      <w:start w:val="1"/>
      <w:numFmt w:val="decimal"/>
      <w:lvlText w:val="%1.%2.%3"/>
      <w:lvlJc w:val="left"/>
      <w:pPr>
        <w:tabs>
          <w:tab w:val="num" w:pos="2160"/>
        </w:tabs>
        <w:ind w:left="2160" w:hanging="720"/>
      </w:pPr>
      <w:rPr>
        <w:rFonts w:ascii="Century Gothic" w:hAnsi="Century Gothic" w:cs="Times New Roman" w:hint="default"/>
        <w:b w:val="0"/>
        <w:i w:val="0"/>
        <w:sz w:val="20"/>
      </w:rPr>
    </w:lvl>
    <w:lvl w:ilvl="3">
      <w:start w:val="1"/>
      <w:numFmt w:val="decimal"/>
      <w:lvlText w:val="%1.%2.%3.%4"/>
      <w:lvlJc w:val="left"/>
      <w:pPr>
        <w:tabs>
          <w:tab w:val="num" w:pos="3240"/>
        </w:tabs>
        <w:ind w:left="3240" w:hanging="1080"/>
      </w:pPr>
      <w:rPr>
        <w:rFonts w:ascii="Century Gothic" w:hAnsi="Century Gothic" w:cs="Times New Roman" w:hint="default"/>
        <w:b w:val="0"/>
        <w:i w:val="0"/>
        <w:sz w:val="20"/>
      </w:rPr>
    </w:lvl>
    <w:lvl w:ilvl="4">
      <w:start w:val="1"/>
      <w:numFmt w:val="decimal"/>
      <w:lvlText w:val="%1.%2.%3.%4.%5"/>
      <w:lvlJc w:val="left"/>
      <w:pPr>
        <w:tabs>
          <w:tab w:val="num" w:pos="3960"/>
        </w:tabs>
        <w:ind w:left="3960" w:hanging="1080"/>
      </w:pPr>
      <w:rPr>
        <w:rFonts w:ascii="Century Gothic" w:hAnsi="Century Gothic" w:cs="Times New Roman" w:hint="default"/>
        <w:b w:val="0"/>
        <w:i w:val="0"/>
        <w:sz w:val="20"/>
      </w:rPr>
    </w:lvl>
    <w:lvl w:ilvl="5">
      <w:start w:val="1"/>
      <w:numFmt w:val="decimal"/>
      <w:lvlText w:val="%1.%2.%3.%4.%5.%6"/>
      <w:lvlJc w:val="left"/>
      <w:pPr>
        <w:tabs>
          <w:tab w:val="num" w:pos="5040"/>
        </w:tabs>
        <w:ind w:left="5040" w:hanging="1440"/>
      </w:pPr>
      <w:rPr>
        <w:rFonts w:ascii="Century Gothic" w:hAnsi="Century Gothic" w:cs="Times New Roman" w:hint="default"/>
        <w:b w:val="0"/>
        <w:i w:val="0"/>
        <w:sz w:val="20"/>
      </w:rPr>
    </w:lvl>
    <w:lvl w:ilvl="6">
      <w:start w:val="1"/>
      <w:numFmt w:val="decimal"/>
      <w:lvlText w:val="%1.%2.%3.%4.%5.%6.%7"/>
      <w:lvlJc w:val="left"/>
      <w:pPr>
        <w:tabs>
          <w:tab w:val="num" w:pos="5760"/>
        </w:tabs>
        <w:ind w:left="5760" w:hanging="1440"/>
      </w:pPr>
      <w:rPr>
        <w:rFonts w:ascii="Century Gothic" w:hAnsi="Century Gothic" w:cs="Times New Roman" w:hint="default"/>
        <w:b w:val="0"/>
        <w:i w:val="0"/>
        <w:sz w:val="20"/>
      </w:rPr>
    </w:lvl>
    <w:lvl w:ilvl="7">
      <w:start w:val="1"/>
      <w:numFmt w:val="decimal"/>
      <w:lvlText w:val="%1.%2.%3.%4.%5.%6.%7.%8"/>
      <w:lvlJc w:val="left"/>
      <w:pPr>
        <w:tabs>
          <w:tab w:val="num" w:pos="6840"/>
        </w:tabs>
        <w:ind w:left="6840" w:hanging="1800"/>
      </w:pPr>
      <w:rPr>
        <w:rFonts w:ascii="Century Gothic" w:hAnsi="Century Gothic" w:cs="Times New Roman" w:hint="default"/>
        <w:b w:val="0"/>
        <w:i w:val="0"/>
        <w:sz w:val="20"/>
      </w:rPr>
    </w:lvl>
    <w:lvl w:ilvl="8">
      <w:start w:val="1"/>
      <w:numFmt w:val="decimal"/>
      <w:lvlText w:val="%1.%2.%3.%4.%5.%6.%7.%8.%9"/>
      <w:lvlJc w:val="left"/>
      <w:pPr>
        <w:tabs>
          <w:tab w:val="num" w:pos="7560"/>
        </w:tabs>
        <w:ind w:left="7560" w:hanging="1800"/>
      </w:pPr>
      <w:rPr>
        <w:rFonts w:ascii="Century Gothic" w:hAnsi="Century Gothic" w:cs="Times New Roman" w:hint="default"/>
        <w:b w:val="0"/>
        <w:i w:val="0"/>
        <w:sz w:val="20"/>
      </w:rPr>
    </w:lvl>
  </w:abstractNum>
  <w:abstractNum w:abstractNumId="25" w15:restartNumberingAfterBreak="0">
    <w:nsid w:val="7EBB29B3"/>
    <w:multiLevelType w:val="multilevel"/>
    <w:tmpl w:val="34366BEE"/>
    <w:lvl w:ilvl="0">
      <w:start w:val="1"/>
      <w:numFmt w:val="decimal"/>
      <w:lvlText w:val="%1"/>
      <w:lvlJc w:val="left"/>
      <w:pPr>
        <w:tabs>
          <w:tab w:val="num" w:pos="720"/>
        </w:tabs>
        <w:ind w:left="720" w:hanging="720"/>
      </w:pPr>
      <w:rPr>
        <w:rFonts w:ascii="Century Gothic" w:hAnsi="Century Gothic" w:cs="Times New Roman" w:hint="default"/>
        <w:b w:val="0"/>
        <w:i w:val="0"/>
        <w:sz w:val="20"/>
      </w:rPr>
    </w:lvl>
    <w:lvl w:ilvl="1">
      <w:start w:val="1"/>
      <w:numFmt w:val="decimal"/>
      <w:lvlText w:val="%1.%2"/>
      <w:lvlJc w:val="left"/>
      <w:pPr>
        <w:tabs>
          <w:tab w:val="num" w:pos="1440"/>
        </w:tabs>
        <w:ind w:left="1440" w:hanging="720"/>
      </w:pPr>
      <w:rPr>
        <w:rFonts w:ascii="Century Gothic" w:hAnsi="Century Gothic" w:cs="Times New Roman" w:hint="default"/>
        <w:b w:val="0"/>
        <w:i w:val="0"/>
        <w:sz w:val="20"/>
      </w:rPr>
    </w:lvl>
    <w:lvl w:ilvl="2">
      <w:start w:val="1"/>
      <w:numFmt w:val="decimal"/>
      <w:lvlText w:val="%1.%2.%3"/>
      <w:lvlJc w:val="left"/>
      <w:pPr>
        <w:tabs>
          <w:tab w:val="num" w:pos="2160"/>
        </w:tabs>
        <w:ind w:left="2160" w:hanging="720"/>
      </w:pPr>
      <w:rPr>
        <w:rFonts w:ascii="Century Gothic" w:hAnsi="Century Gothic" w:cs="Times New Roman" w:hint="default"/>
        <w:b w:val="0"/>
        <w:i w:val="0"/>
        <w:sz w:val="20"/>
      </w:rPr>
    </w:lvl>
    <w:lvl w:ilvl="3">
      <w:start w:val="1"/>
      <w:numFmt w:val="decimal"/>
      <w:lvlText w:val="%1.%2.%3.%4"/>
      <w:lvlJc w:val="left"/>
      <w:pPr>
        <w:tabs>
          <w:tab w:val="num" w:pos="3240"/>
        </w:tabs>
        <w:ind w:left="3240" w:hanging="1080"/>
      </w:pPr>
      <w:rPr>
        <w:rFonts w:ascii="Century Gothic" w:hAnsi="Century Gothic" w:cs="Times New Roman" w:hint="default"/>
        <w:b w:val="0"/>
        <w:i w:val="0"/>
        <w:sz w:val="20"/>
      </w:rPr>
    </w:lvl>
    <w:lvl w:ilvl="4">
      <w:start w:val="1"/>
      <w:numFmt w:val="decimal"/>
      <w:lvlText w:val="%1.%2.%3.%4.%5"/>
      <w:lvlJc w:val="left"/>
      <w:pPr>
        <w:tabs>
          <w:tab w:val="num" w:pos="3960"/>
        </w:tabs>
        <w:ind w:left="3960" w:hanging="1080"/>
      </w:pPr>
      <w:rPr>
        <w:rFonts w:ascii="Century Gothic" w:hAnsi="Century Gothic" w:cs="Times New Roman" w:hint="default"/>
        <w:b w:val="0"/>
        <w:i w:val="0"/>
        <w:sz w:val="20"/>
      </w:rPr>
    </w:lvl>
    <w:lvl w:ilvl="5">
      <w:start w:val="1"/>
      <w:numFmt w:val="decimal"/>
      <w:lvlText w:val="%1.%2.%3.%4.%5.%6"/>
      <w:lvlJc w:val="left"/>
      <w:pPr>
        <w:tabs>
          <w:tab w:val="num" w:pos="5040"/>
        </w:tabs>
        <w:ind w:left="5040" w:hanging="1440"/>
      </w:pPr>
      <w:rPr>
        <w:rFonts w:ascii="Century Gothic" w:hAnsi="Century Gothic" w:cs="Times New Roman" w:hint="default"/>
        <w:b w:val="0"/>
        <w:i w:val="0"/>
        <w:sz w:val="20"/>
      </w:rPr>
    </w:lvl>
    <w:lvl w:ilvl="6">
      <w:start w:val="1"/>
      <w:numFmt w:val="decimal"/>
      <w:lvlText w:val="%1.%2.%3.%4.%5.%6.%7"/>
      <w:lvlJc w:val="left"/>
      <w:pPr>
        <w:tabs>
          <w:tab w:val="num" w:pos="5760"/>
        </w:tabs>
        <w:ind w:left="5760" w:hanging="1440"/>
      </w:pPr>
      <w:rPr>
        <w:rFonts w:ascii="Century Gothic" w:hAnsi="Century Gothic" w:cs="Times New Roman" w:hint="default"/>
        <w:b w:val="0"/>
        <w:i w:val="0"/>
        <w:sz w:val="20"/>
      </w:rPr>
    </w:lvl>
    <w:lvl w:ilvl="7">
      <w:start w:val="1"/>
      <w:numFmt w:val="decimal"/>
      <w:lvlText w:val="%1.%2.%3.%4.%5.%6.%7.%8"/>
      <w:lvlJc w:val="left"/>
      <w:pPr>
        <w:tabs>
          <w:tab w:val="num" w:pos="6840"/>
        </w:tabs>
        <w:ind w:left="6840" w:hanging="1800"/>
      </w:pPr>
      <w:rPr>
        <w:rFonts w:ascii="Century Gothic" w:hAnsi="Century Gothic" w:cs="Times New Roman" w:hint="default"/>
        <w:b w:val="0"/>
        <w:i w:val="0"/>
        <w:sz w:val="20"/>
      </w:rPr>
    </w:lvl>
    <w:lvl w:ilvl="8">
      <w:start w:val="1"/>
      <w:numFmt w:val="decimal"/>
      <w:lvlText w:val="%1.%2.%3.%4.%5.%6.%7.%8.%9"/>
      <w:lvlJc w:val="left"/>
      <w:pPr>
        <w:tabs>
          <w:tab w:val="num" w:pos="7560"/>
        </w:tabs>
        <w:ind w:left="7560" w:hanging="1800"/>
      </w:pPr>
      <w:rPr>
        <w:rFonts w:ascii="Century Gothic" w:hAnsi="Century Gothic" w:cs="Times New Roman" w:hint="default"/>
        <w:b w:val="0"/>
        <w:i w:val="0"/>
        <w:sz w:val="20"/>
      </w:rPr>
    </w:lvl>
  </w:abstractNum>
  <w:num w:numId="1">
    <w:abstractNumId w:val="4"/>
  </w:num>
  <w:num w:numId="2">
    <w:abstractNumId w:val="20"/>
  </w:num>
  <w:num w:numId="3">
    <w:abstractNumId w:val="7"/>
  </w:num>
  <w:num w:numId="4">
    <w:abstractNumId w:val="16"/>
  </w:num>
  <w:num w:numId="5">
    <w:abstractNumId w:val="12"/>
  </w:num>
  <w:num w:numId="6">
    <w:abstractNumId w:val="6"/>
  </w:num>
  <w:num w:numId="7">
    <w:abstractNumId w:val="24"/>
  </w:num>
  <w:num w:numId="8">
    <w:abstractNumId w:val="11"/>
  </w:num>
  <w:num w:numId="9">
    <w:abstractNumId w:val="2"/>
  </w:num>
  <w:num w:numId="10">
    <w:abstractNumId w:val="19"/>
  </w:num>
  <w:num w:numId="11">
    <w:abstractNumId w:val="13"/>
  </w:num>
  <w:num w:numId="12">
    <w:abstractNumId w:val="25"/>
  </w:num>
  <w:num w:numId="13">
    <w:abstractNumId w:val="21"/>
  </w:num>
  <w:num w:numId="14">
    <w:abstractNumId w:val="1"/>
  </w:num>
  <w:num w:numId="15">
    <w:abstractNumId w:val="23"/>
  </w:num>
  <w:num w:numId="16">
    <w:abstractNumId w:val="15"/>
  </w:num>
  <w:num w:numId="17">
    <w:abstractNumId w:val="0"/>
  </w:num>
  <w:num w:numId="18">
    <w:abstractNumId w:val="8"/>
  </w:num>
  <w:num w:numId="19">
    <w:abstractNumId w:val="3"/>
  </w:num>
  <w:num w:numId="20">
    <w:abstractNumId w:val="17"/>
  </w:num>
  <w:num w:numId="21">
    <w:abstractNumId w:val="5"/>
  </w:num>
  <w:num w:numId="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NDC3MDE0NTEyMDVT0lEKTi0uzszPAykwrAUA0I1X+SwAAAA="/>
  </w:docVars>
  <w:rsids>
    <w:rsidRoot w:val="006F0E1F"/>
    <w:rsid w:val="000049E6"/>
    <w:rsid w:val="000D0BE9"/>
    <w:rsid w:val="00142F24"/>
    <w:rsid w:val="00144CC6"/>
    <w:rsid w:val="00157B47"/>
    <w:rsid w:val="00214270"/>
    <w:rsid w:val="00263B38"/>
    <w:rsid w:val="00311553"/>
    <w:rsid w:val="00361469"/>
    <w:rsid w:val="0038535A"/>
    <w:rsid w:val="003A50BF"/>
    <w:rsid w:val="003C4D70"/>
    <w:rsid w:val="003D682C"/>
    <w:rsid w:val="0043167C"/>
    <w:rsid w:val="00433526"/>
    <w:rsid w:val="00443DC3"/>
    <w:rsid w:val="00445886"/>
    <w:rsid w:val="00480A9A"/>
    <w:rsid w:val="004955FE"/>
    <w:rsid w:val="004C1AC9"/>
    <w:rsid w:val="004F6690"/>
    <w:rsid w:val="00513A36"/>
    <w:rsid w:val="00536B15"/>
    <w:rsid w:val="005B2A69"/>
    <w:rsid w:val="005F0542"/>
    <w:rsid w:val="0060461B"/>
    <w:rsid w:val="006C13ED"/>
    <w:rsid w:val="006C58F8"/>
    <w:rsid w:val="006F0E1F"/>
    <w:rsid w:val="007D0F8D"/>
    <w:rsid w:val="007E2414"/>
    <w:rsid w:val="007E3A48"/>
    <w:rsid w:val="008B531E"/>
    <w:rsid w:val="008C090B"/>
    <w:rsid w:val="009132F4"/>
    <w:rsid w:val="00915F2F"/>
    <w:rsid w:val="00A106E7"/>
    <w:rsid w:val="00A32ED5"/>
    <w:rsid w:val="00A32F9A"/>
    <w:rsid w:val="00AA7CCE"/>
    <w:rsid w:val="00B16852"/>
    <w:rsid w:val="00B67B43"/>
    <w:rsid w:val="00B70BFA"/>
    <w:rsid w:val="00B76F03"/>
    <w:rsid w:val="00BF33C0"/>
    <w:rsid w:val="00BF4194"/>
    <w:rsid w:val="00BF6E0B"/>
    <w:rsid w:val="00C3434C"/>
    <w:rsid w:val="00CC3E25"/>
    <w:rsid w:val="00CF1D9C"/>
    <w:rsid w:val="00D20267"/>
    <w:rsid w:val="00D54124"/>
    <w:rsid w:val="00E306DE"/>
    <w:rsid w:val="00E34A66"/>
    <w:rsid w:val="00E747D3"/>
    <w:rsid w:val="00ED1EE6"/>
    <w:rsid w:val="00F45BB4"/>
    <w:rsid w:val="00F96D26"/>
    <w:rsid w:val="00FE0735"/>
    <w:rsid w:val="00FE0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D120B2"/>
  <w15:chartTrackingRefBased/>
  <w15:docId w15:val="{8D48CDA7-BED0-4558-9FD5-7FE6BCA5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ED5"/>
    <w:pPr>
      <w:spacing w:before="120"/>
    </w:pPr>
    <w:rPr>
      <w:rFonts w:ascii="Arial" w:hAnsi="Arial"/>
      <w:sz w:val="22"/>
      <w:szCs w:val="24"/>
      <w:lang w:eastAsia="en-US"/>
    </w:rPr>
  </w:style>
  <w:style w:type="paragraph" w:styleId="Heading1">
    <w:name w:val="heading 1"/>
    <w:basedOn w:val="Normal"/>
    <w:next w:val="Normal"/>
    <w:qFormat/>
    <w:rsid w:val="00A32ED5"/>
    <w:pPr>
      <w:keepNext/>
      <w:spacing w:before="240" w:after="60"/>
      <w:outlineLvl w:val="0"/>
    </w:pPr>
    <w:rPr>
      <w:rFonts w:cs="Arial"/>
      <w:b/>
      <w:bCs/>
      <w:kern w:val="32"/>
      <w:sz w:val="32"/>
      <w:szCs w:val="32"/>
    </w:rPr>
  </w:style>
  <w:style w:type="paragraph" w:styleId="Heading2">
    <w:name w:val="heading 2"/>
    <w:basedOn w:val="Normal"/>
    <w:next w:val="Normal"/>
    <w:qFormat/>
    <w:rsid w:val="00A32ED5"/>
    <w:pPr>
      <w:keepNext/>
      <w:spacing w:before="240" w:after="60"/>
      <w:outlineLvl w:val="1"/>
    </w:pPr>
    <w:rPr>
      <w:rFonts w:cs="Arial"/>
      <w:b/>
      <w:bCs/>
      <w:iCs/>
      <w:szCs w:val="28"/>
    </w:rPr>
  </w:style>
  <w:style w:type="paragraph" w:styleId="Heading3">
    <w:name w:val="heading 3"/>
    <w:basedOn w:val="Normal"/>
    <w:next w:val="Normal"/>
    <w:qFormat/>
    <w:rsid w:val="00A32ED5"/>
    <w:pPr>
      <w:keepNext/>
      <w:spacing w:before="240" w:after="60"/>
      <w:outlineLvl w:val="2"/>
    </w:pPr>
    <w:rPr>
      <w:rFonts w:cs="Arial"/>
      <w:bCs/>
      <w:szCs w:val="26"/>
    </w:rPr>
  </w:style>
  <w:style w:type="paragraph" w:styleId="Heading4">
    <w:name w:val="heading 4"/>
    <w:basedOn w:val="SectionL1"/>
    <w:next w:val="Normal"/>
    <w:qFormat/>
    <w:pPr>
      <w:outlineLvl w:val="3"/>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pBdr>
        <w:top w:val="single" w:sz="4" w:space="1" w:color="auto"/>
        <w:bottom w:val="single" w:sz="4" w:space="1" w:color="auto"/>
      </w:pBdr>
      <w:shd w:val="pct20" w:color="auto" w:fill="auto"/>
      <w:tabs>
        <w:tab w:val="left" w:pos="5580"/>
        <w:tab w:val="right" w:pos="8306"/>
      </w:tabs>
    </w:pPr>
    <w:rPr>
      <w:rFonts w:ascii="Century Gothic" w:hAnsi="Century Gothic"/>
      <w:b/>
      <w:bCs/>
      <w:sz w:val="20"/>
    </w:rPr>
  </w:style>
  <w:style w:type="paragraph" w:styleId="Footer">
    <w:name w:val="footer"/>
    <w:basedOn w:val="Normal"/>
    <w:pPr>
      <w:pBdr>
        <w:top w:val="single" w:sz="4" w:space="1" w:color="auto"/>
        <w:bottom w:val="single" w:sz="4" w:space="1" w:color="auto"/>
      </w:pBdr>
      <w:shd w:val="pct20" w:color="auto" w:fill="auto"/>
      <w:tabs>
        <w:tab w:val="center" w:pos="4153"/>
        <w:tab w:val="right" w:pos="8306"/>
      </w:tabs>
    </w:pPr>
    <w:rPr>
      <w:rFonts w:ascii="Century Gothic" w:hAnsi="Century Gothic"/>
      <w:b/>
      <w:bCs/>
      <w:sz w:val="20"/>
    </w:rPr>
  </w:style>
  <w:style w:type="paragraph" w:styleId="TOC1">
    <w:name w:val="toc 1"/>
    <w:basedOn w:val="Normal"/>
    <w:next w:val="Normal"/>
    <w:autoRedefine/>
    <w:semiHidden/>
    <w:pPr>
      <w:spacing w:after="120"/>
    </w:pPr>
    <w:rPr>
      <w:b/>
      <w:bCs/>
    </w:rPr>
  </w:style>
  <w:style w:type="paragraph" w:customStyle="1" w:styleId="DocTitle">
    <w:name w:val="DocTitle"/>
    <w:basedOn w:val="Normal"/>
    <w:pPr>
      <w:pBdr>
        <w:bottom w:val="single" w:sz="4" w:space="1" w:color="auto"/>
      </w:pBdr>
      <w:spacing w:before="480" w:after="480"/>
    </w:pPr>
    <w:rPr>
      <w:rFonts w:ascii="Arial Rounded MT Bold" w:hAnsi="Arial Rounded MT Bold"/>
      <w:b/>
      <w:sz w:val="36"/>
    </w:rPr>
  </w:style>
  <w:style w:type="paragraph" w:customStyle="1" w:styleId="SectionL1">
    <w:name w:val="Section L1"/>
    <w:basedOn w:val="Normal"/>
    <w:next w:val="Normal"/>
    <w:rPr>
      <w:rFonts w:ascii="Arial Rounded MT Bold" w:hAnsi="Arial Rounded MT Bold"/>
      <w:b/>
      <w:sz w:val="28"/>
    </w:rPr>
  </w:style>
  <w:style w:type="paragraph" w:customStyle="1" w:styleId="IndentL2">
    <w:name w:val="Indent L2"/>
    <w:basedOn w:val="Normal"/>
    <w:pPr>
      <w:ind w:left="360"/>
    </w:pPr>
  </w:style>
  <w:style w:type="paragraph" w:customStyle="1" w:styleId="SectionL2">
    <w:name w:val="Section L2"/>
    <w:basedOn w:val="SectionL1"/>
    <w:next w:val="IndentL2"/>
    <w:rPr>
      <w:sz w:val="24"/>
    </w:rPr>
  </w:style>
  <w:style w:type="paragraph" w:styleId="TOC2">
    <w:name w:val="toc 2"/>
    <w:basedOn w:val="Normal"/>
    <w:next w:val="Normal"/>
    <w:autoRedefine/>
    <w:semiHidden/>
    <w:pPr>
      <w:spacing w:before="0"/>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customStyle="1" w:styleId="SectionL1Char">
    <w:name w:val="Section L1 Char"/>
    <w:rPr>
      <w:rFonts w:ascii="Arial Rounded MT Bold" w:hAnsi="Arial Rounded MT Bold"/>
      <w:b/>
      <w:sz w:val="28"/>
      <w:szCs w:val="24"/>
      <w:lang w:val="en-GB" w:eastAsia="en-US" w:bidi="ar-SA"/>
    </w:rPr>
  </w:style>
  <w:style w:type="paragraph" w:styleId="BalloonText">
    <w:name w:val="Balloon Text"/>
    <w:basedOn w:val="Normal"/>
    <w:semiHidden/>
    <w:rPr>
      <w:rFonts w:ascii="Tahoma" w:hAnsi="Tahoma" w:cs="Tahoma"/>
      <w:sz w:val="16"/>
      <w:szCs w:val="16"/>
    </w:rPr>
  </w:style>
  <w:style w:type="paragraph" w:styleId="Title">
    <w:name w:val="Title"/>
    <w:basedOn w:val="Normal"/>
    <w:next w:val="Normal"/>
    <w:link w:val="TitleChar"/>
    <w:qFormat/>
    <w:rsid w:val="00A32ED5"/>
    <w:pPr>
      <w:spacing w:before="240" w:after="60"/>
      <w:jc w:val="center"/>
      <w:outlineLvl w:val="0"/>
    </w:pPr>
    <w:rPr>
      <w:b/>
      <w:bCs/>
      <w:kern w:val="28"/>
      <w:sz w:val="72"/>
      <w:szCs w:val="32"/>
    </w:rPr>
  </w:style>
  <w:style w:type="character" w:customStyle="1" w:styleId="TitleChar">
    <w:name w:val="Title Char"/>
    <w:link w:val="Title"/>
    <w:rsid w:val="00A32ED5"/>
    <w:rPr>
      <w:rFonts w:ascii="Arial" w:eastAsia="Times New Roman" w:hAnsi="Arial" w:cs="Times New Roman"/>
      <w:b/>
      <w:bCs/>
      <w:kern w:val="28"/>
      <w:sz w:val="72"/>
      <w:szCs w:val="32"/>
      <w:lang w:eastAsia="en-US"/>
    </w:rPr>
  </w:style>
  <w:style w:type="character" w:styleId="FollowedHyperlink">
    <w:name w:val="FollowedHyperlink"/>
    <w:rsid w:val="00A32ED5"/>
    <w:rPr>
      <w:color w:val="954F72"/>
      <w:u w:val="single"/>
    </w:rPr>
  </w:style>
  <w:style w:type="character" w:styleId="UnresolvedMention">
    <w:name w:val="Unresolved Mention"/>
    <w:uiPriority w:val="99"/>
    <w:semiHidden/>
    <w:unhideWhenUsed/>
    <w:rsid w:val="00A32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2136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uropathologysecretaries@nbt.nhs.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e0435\AppData\Roaming\Microsoft\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
  <TotalTime>0</TotalTime>
  <Pages>4</Pages>
  <Words>1056</Words>
  <Characters>5869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Title of document</vt:lpstr>
    </vt:vector>
  </TitlesOfParts>
  <Company>North Bristol NHSTrust</Company>
  <LinksUpToDate>false</LinksUpToDate>
  <CharactersWithSpaces>6912</CharactersWithSpaces>
  <SharedDoc>false</SharedDoc>
  <HLinks>
    <vt:vector size="6" baseType="variant">
      <vt:variant>
        <vt:i4>6815774</vt:i4>
      </vt:variant>
      <vt:variant>
        <vt:i4>0</vt:i4>
      </vt:variant>
      <vt:variant>
        <vt:i4>0</vt:i4>
      </vt:variant>
      <vt:variant>
        <vt:i4>5</vt:i4>
      </vt:variant>
      <vt:variant>
        <vt:lpwstr>mailto:neuropathologysecretaries@nbt.nhs.uk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nbe0435</dc:creator>
  <cp:keywords/>
  <cp:lastModifiedBy>Molly Lacey</cp:lastModifiedBy>
  <cp:revision>2</cp:revision>
  <cp:lastPrinted>2014-12-08T17:26:00Z</cp:lastPrinted>
  <dcterms:created xsi:type="dcterms:W3CDTF">2021-07-16T12:06:00Z</dcterms:created>
  <dcterms:modified xsi:type="dcterms:W3CDTF">2021-07-16T12:06:00Z</dcterms:modified>
</cp:coreProperties>
</file>