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58732" w14:textId="77777777" w:rsidR="003E2DCA" w:rsidRDefault="00000000">
      <w:pPr>
        <w:spacing w:after="0" w:line="259" w:lineRule="auto"/>
        <w:ind w:left="0" w:firstLine="0"/>
        <w:jc w:val="right"/>
      </w:pPr>
      <w:r>
        <w:rPr>
          <w:noProof/>
        </w:rPr>
        <w:drawing>
          <wp:inline distT="0" distB="0" distL="0" distR="0" wp14:anchorId="3A5E8D5F" wp14:editId="3D3C02F8">
            <wp:extent cx="1755139" cy="819150"/>
            <wp:effectExtent l="0" t="0" r="0" b="0"/>
            <wp:docPr id="86" name="Picture 86" descr="Bristol and Weston, NHS Purchasing Consortium logo"/>
            <wp:cNvGraphicFramePr/>
            <a:graphic xmlns:a="http://schemas.openxmlformats.org/drawingml/2006/main">
              <a:graphicData uri="http://schemas.openxmlformats.org/drawingml/2006/picture">
                <pic:pic xmlns:pic="http://schemas.openxmlformats.org/drawingml/2006/picture">
                  <pic:nvPicPr>
                    <pic:cNvPr id="86" name="Picture 86" descr="Bristol and Weston, NHS Purchasing Consortium logo"/>
                    <pic:cNvPicPr/>
                  </pic:nvPicPr>
                  <pic:blipFill>
                    <a:blip r:embed="rId5"/>
                    <a:stretch>
                      <a:fillRect/>
                    </a:stretch>
                  </pic:blipFill>
                  <pic:spPr>
                    <a:xfrm>
                      <a:off x="0" y="0"/>
                      <a:ext cx="1755139" cy="819150"/>
                    </a:xfrm>
                    <a:prstGeom prst="rect">
                      <a:avLst/>
                    </a:prstGeom>
                  </pic:spPr>
                </pic:pic>
              </a:graphicData>
            </a:graphic>
          </wp:inline>
        </w:drawing>
      </w:r>
      <w:r>
        <w:rPr>
          <w:rFonts w:ascii="Times New Roman" w:eastAsia="Times New Roman" w:hAnsi="Times New Roman" w:cs="Times New Roman"/>
          <w:sz w:val="20"/>
        </w:rPr>
        <w:t xml:space="preserve"> </w:t>
      </w:r>
    </w:p>
    <w:p w14:paraId="406039B8" w14:textId="77777777" w:rsidR="003E2DCA" w:rsidRDefault="00000000">
      <w:pPr>
        <w:spacing w:after="161" w:line="259" w:lineRule="auto"/>
        <w:ind w:left="0" w:firstLine="0"/>
        <w:jc w:val="left"/>
      </w:pPr>
      <w:r>
        <w:rPr>
          <w:rFonts w:ascii="Times New Roman" w:eastAsia="Times New Roman" w:hAnsi="Times New Roman" w:cs="Times New Roman"/>
          <w:sz w:val="22"/>
        </w:rPr>
        <w:t xml:space="preserve"> </w:t>
      </w:r>
    </w:p>
    <w:p w14:paraId="4693164C" w14:textId="77777777" w:rsidR="003E2DCA" w:rsidRDefault="00000000">
      <w:pPr>
        <w:spacing w:after="94" w:line="242" w:lineRule="auto"/>
        <w:ind w:left="3916" w:right="174" w:hanging="3801"/>
        <w:jc w:val="left"/>
      </w:pPr>
      <w:r>
        <w:rPr>
          <w:sz w:val="32"/>
        </w:rPr>
        <w:t xml:space="preserve">Trust Guidance for Suppliers/Sales Representatives onsite visits </w:t>
      </w:r>
    </w:p>
    <w:p w14:paraId="13CB32E9" w14:textId="77777777" w:rsidR="003E2DCA" w:rsidRDefault="00000000">
      <w:pPr>
        <w:spacing w:after="0" w:line="259" w:lineRule="auto"/>
        <w:ind w:left="0" w:firstLine="0"/>
        <w:jc w:val="left"/>
      </w:pPr>
      <w:r>
        <w:rPr>
          <w:sz w:val="41"/>
        </w:rPr>
        <w:t xml:space="preserve"> </w:t>
      </w:r>
    </w:p>
    <w:p w14:paraId="756CCB30" w14:textId="77777777" w:rsidR="003E2DCA" w:rsidRDefault="00000000">
      <w:pPr>
        <w:numPr>
          <w:ilvl w:val="0"/>
          <w:numId w:val="1"/>
        </w:numPr>
        <w:ind w:right="542" w:hanging="358"/>
      </w:pPr>
      <w:r>
        <w:t>Supplier Representatives must not visit the Trust without a pre-arranged, Trust approved appointment.</w:t>
      </w:r>
      <w:r>
        <w:rPr>
          <w:rFonts w:ascii="Segoe UI Symbol" w:eastAsia="Segoe UI Symbol" w:hAnsi="Segoe UI Symbol" w:cs="Segoe UI Symbol"/>
        </w:rPr>
        <w:t xml:space="preserve"> </w:t>
      </w:r>
    </w:p>
    <w:p w14:paraId="69BBF9A1" w14:textId="3B7DE37B" w:rsidR="003E2DCA" w:rsidRDefault="00000000">
      <w:pPr>
        <w:numPr>
          <w:ilvl w:val="0"/>
          <w:numId w:val="1"/>
        </w:numPr>
        <w:ind w:right="542" w:hanging="358"/>
      </w:pPr>
      <w:r>
        <w:t xml:space="preserve">All appointments must be registered via Medical Industry Accredited (MIA) website, </w:t>
      </w:r>
      <w:hyperlink r:id="rId6">
        <w:r>
          <w:rPr>
            <w:color w:val="0000FF"/>
            <w:u w:val="single" w:color="0000FF"/>
          </w:rPr>
          <w:t>www.miaweb.co.uk</w:t>
        </w:r>
      </w:hyperlink>
      <w:r>
        <w:t>, at least 48hrs prior to the appointment.</w:t>
      </w:r>
      <w:r>
        <w:rPr>
          <w:rFonts w:ascii="Segoe UI Symbol" w:eastAsia="Segoe UI Symbol" w:hAnsi="Segoe UI Symbol" w:cs="Segoe UI Symbol"/>
        </w:rPr>
        <w:t xml:space="preserve"> </w:t>
      </w:r>
    </w:p>
    <w:p w14:paraId="6B6485CE" w14:textId="77777777" w:rsidR="003E2DCA" w:rsidRDefault="00000000">
      <w:pPr>
        <w:numPr>
          <w:ilvl w:val="0"/>
          <w:numId w:val="1"/>
        </w:numPr>
        <w:ind w:right="542" w:hanging="358"/>
      </w:pPr>
      <w:r>
        <w:t>The Trust reserve the right to reject requests for appointments and will not permit visits without a pre-approved appointment.</w:t>
      </w:r>
      <w:r>
        <w:rPr>
          <w:rFonts w:ascii="Segoe UI Symbol" w:eastAsia="Segoe UI Symbol" w:hAnsi="Segoe UI Symbol" w:cs="Segoe UI Symbol"/>
          <w:color w:val="0000FF"/>
        </w:rPr>
        <w:t xml:space="preserve"> </w:t>
      </w:r>
    </w:p>
    <w:p w14:paraId="0A6E1465" w14:textId="77777777" w:rsidR="003E2DCA" w:rsidRDefault="00000000">
      <w:pPr>
        <w:numPr>
          <w:ilvl w:val="0"/>
          <w:numId w:val="1"/>
        </w:numPr>
        <w:ind w:right="542" w:hanging="358"/>
      </w:pPr>
      <w:r>
        <w:t>Supplier Representatives must check into the pre- determined location on arrival into the Trust, this will be advised on approval of site visit and may be via security or a QR code.</w:t>
      </w:r>
      <w:r>
        <w:rPr>
          <w:rFonts w:ascii="Segoe UI Symbol" w:eastAsia="Segoe UI Symbol" w:hAnsi="Segoe UI Symbol" w:cs="Segoe UI Symbol"/>
        </w:rPr>
        <w:t xml:space="preserve"> </w:t>
      </w:r>
    </w:p>
    <w:p w14:paraId="3C11112D" w14:textId="77777777" w:rsidR="003E2DCA" w:rsidRDefault="00000000">
      <w:pPr>
        <w:numPr>
          <w:ilvl w:val="0"/>
          <w:numId w:val="1"/>
        </w:numPr>
        <w:ind w:right="542" w:hanging="358"/>
      </w:pPr>
      <w:r>
        <w:t>Supplier Representatives must only visit the areas that they have appointments with, and leave the hospital site as soon as possible after their appointment, checking out at the relevant location.</w:t>
      </w:r>
      <w:r>
        <w:rPr>
          <w:rFonts w:ascii="Segoe UI Symbol" w:eastAsia="Segoe UI Symbol" w:hAnsi="Segoe UI Symbol" w:cs="Segoe UI Symbol"/>
        </w:rPr>
        <w:t xml:space="preserve"> </w:t>
      </w:r>
    </w:p>
    <w:p w14:paraId="75CCC4CF" w14:textId="77777777" w:rsidR="003E2DCA" w:rsidRDefault="00000000">
      <w:pPr>
        <w:numPr>
          <w:ilvl w:val="0"/>
          <w:numId w:val="1"/>
        </w:numPr>
        <w:ind w:right="542" w:hanging="358"/>
      </w:pPr>
      <w:r>
        <w:t>All Supplier Representatives must always prominently display photographic company ID whilst on site.</w:t>
      </w:r>
      <w:r>
        <w:rPr>
          <w:rFonts w:ascii="Segoe UI Symbol" w:eastAsia="Segoe UI Symbol" w:hAnsi="Segoe UI Symbol" w:cs="Segoe UI Symbol"/>
        </w:rPr>
        <w:t xml:space="preserve"> </w:t>
      </w:r>
    </w:p>
    <w:p w14:paraId="4BA734C1" w14:textId="77777777" w:rsidR="003E2DCA" w:rsidRDefault="00000000">
      <w:pPr>
        <w:numPr>
          <w:ilvl w:val="0"/>
          <w:numId w:val="1"/>
        </w:numPr>
        <w:spacing w:after="107" w:line="231" w:lineRule="auto"/>
        <w:ind w:right="542" w:hanging="358"/>
      </w:pPr>
      <w:r>
        <w:t>Supplier Representatives should not visit the Trust if they have experienced a high temperature or any Covid, or Flu symptoms, in the previous 10 days. Similarly, representatives who have been suffering from diarrhoea and vomiting should not enter the hospital environment until they have been free of symptoms for at least 48 hours.</w:t>
      </w:r>
      <w:r>
        <w:rPr>
          <w:rFonts w:ascii="Segoe UI Symbol" w:eastAsia="Segoe UI Symbol" w:hAnsi="Segoe UI Symbol" w:cs="Segoe UI Symbol"/>
        </w:rPr>
        <w:t xml:space="preserve"> </w:t>
      </w:r>
    </w:p>
    <w:p w14:paraId="689FBE2E" w14:textId="77777777" w:rsidR="003E2DCA" w:rsidRDefault="00000000">
      <w:pPr>
        <w:numPr>
          <w:ilvl w:val="0"/>
          <w:numId w:val="1"/>
        </w:numPr>
        <w:ind w:right="542" w:hanging="358"/>
      </w:pPr>
      <w:r>
        <w:t>On entering any clinical area, Supplier Representatives should remove outdoor coats or jackets and wash their hands again thoroughly. PPE guidelines should be followed as displayed in each clinical area.</w:t>
      </w:r>
      <w:r>
        <w:rPr>
          <w:rFonts w:ascii="Segoe UI Symbol" w:eastAsia="Segoe UI Symbol" w:hAnsi="Segoe UI Symbol" w:cs="Segoe UI Symbol"/>
        </w:rPr>
        <w:t xml:space="preserve"> </w:t>
      </w:r>
    </w:p>
    <w:p w14:paraId="534FE465" w14:textId="77777777" w:rsidR="003E2DCA" w:rsidRDefault="00000000">
      <w:pPr>
        <w:numPr>
          <w:ilvl w:val="0"/>
          <w:numId w:val="1"/>
        </w:numPr>
        <w:spacing w:after="107" w:line="231" w:lineRule="auto"/>
        <w:ind w:right="542" w:hanging="358"/>
      </w:pPr>
      <w:r>
        <w:t>Whilst on Trust premises, supplier representatives must conduct themselves in a responsible and business-like manner. Failure to comply will result in supplier being asked to leave the premises and may result in future appointments being rejected.</w:t>
      </w:r>
      <w:r>
        <w:rPr>
          <w:rFonts w:ascii="Segoe UI Symbol" w:eastAsia="Segoe UI Symbol" w:hAnsi="Segoe UI Symbol" w:cs="Segoe UI Symbol"/>
        </w:rPr>
        <w:t xml:space="preserve"> </w:t>
      </w:r>
    </w:p>
    <w:p w14:paraId="3AF9CFEE" w14:textId="77777777" w:rsidR="003E2DCA" w:rsidRDefault="00000000">
      <w:pPr>
        <w:numPr>
          <w:ilvl w:val="0"/>
          <w:numId w:val="1"/>
        </w:numPr>
        <w:spacing w:after="0"/>
        <w:ind w:right="542" w:hanging="358"/>
      </w:pPr>
      <w:r>
        <w:t>Trust staff have the right to refuse access to suppliers if any of the guidance is not adhered to.</w:t>
      </w:r>
      <w:r>
        <w:rPr>
          <w:rFonts w:ascii="Segoe UI Symbol" w:eastAsia="Segoe UI Symbol" w:hAnsi="Segoe UI Symbol" w:cs="Segoe UI Symbol"/>
        </w:rPr>
        <w:t xml:space="preserve"> </w:t>
      </w:r>
    </w:p>
    <w:p w14:paraId="1CAAC41D" w14:textId="77777777" w:rsidR="003E2DCA" w:rsidRDefault="00000000">
      <w:pPr>
        <w:spacing w:after="0" w:line="259" w:lineRule="auto"/>
        <w:ind w:left="0" w:firstLine="0"/>
        <w:jc w:val="left"/>
      </w:pPr>
      <w:r>
        <w:rPr>
          <w:sz w:val="20"/>
        </w:rPr>
        <w:t xml:space="preserve"> </w:t>
      </w:r>
    </w:p>
    <w:p w14:paraId="5E326087" w14:textId="77777777" w:rsidR="003E2DCA" w:rsidRDefault="00000000">
      <w:pPr>
        <w:spacing w:after="0" w:line="259" w:lineRule="auto"/>
        <w:ind w:left="0" w:firstLine="0"/>
        <w:jc w:val="left"/>
      </w:pPr>
      <w:r>
        <w:rPr>
          <w:sz w:val="20"/>
        </w:rPr>
        <w:t xml:space="preserve"> </w:t>
      </w:r>
    </w:p>
    <w:p w14:paraId="4DAE0CA2" w14:textId="77777777" w:rsidR="003E2DCA" w:rsidRDefault="00000000">
      <w:pPr>
        <w:spacing w:after="0" w:line="259" w:lineRule="auto"/>
        <w:ind w:left="0" w:firstLine="0"/>
        <w:jc w:val="left"/>
      </w:pPr>
      <w:r>
        <w:rPr>
          <w:sz w:val="20"/>
        </w:rPr>
        <w:t xml:space="preserve"> </w:t>
      </w:r>
    </w:p>
    <w:p w14:paraId="29278AC7" w14:textId="77777777" w:rsidR="003E2DCA" w:rsidRDefault="00000000">
      <w:pPr>
        <w:spacing w:after="0" w:line="259" w:lineRule="auto"/>
        <w:ind w:left="0" w:firstLine="0"/>
        <w:jc w:val="left"/>
      </w:pPr>
      <w:r>
        <w:rPr>
          <w:sz w:val="20"/>
        </w:rPr>
        <w:t xml:space="preserve"> </w:t>
      </w:r>
    </w:p>
    <w:p w14:paraId="6D03CBA8" w14:textId="77777777" w:rsidR="003E2DCA" w:rsidRDefault="00000000">
      <w:pPr>
        <w:spacing w:after="0" w:line="259" w:lineRule="auto"/>
        <w:ind w:left="0" w:firstLine="0"/>
        <w:jc w:val="left"/>
      </w:pPr>
      <w:r>
        <w:rPr>
          <w:sz w:val="20"/>
        </w:rPr>
        <w:t xml:space="preserve"> </w:t>
      </w:r>
    </w:p>
    <w:p w14:paraId="45A8E44B" w14:textId="77777777" w:rsidR="003E2DCA" w:rsidRDefault="00000000">
      <w:pPr>
        <w:spacing w:after="2" w:line="259" w:lineRule="auto"/>
        <w:ind w:left="0" w:firstLine="0"/>
        <w:jc w:val="left"/>
      </w:pPr>
      <w:r>
        <w:rPr>
          <w:sz w:val="20"/>
        </w:rPr>
        <w:t xml:space="preserve"> </w:t>
      </w:r>
    </w:p>
    <w:p w14:paraId="7B4AD940" w14:textId="77777777" w:rsidR="003E2DCA" w:rsidRDefault="00000000">
      <w:pPr>
        <w:spacing w:after="0" w:line="259" w:lineRule="auto"/>
        <w:ind w:left="0" w:firstLine="0"/>
        <w:jc w:val="left"/>
      </w:pPr>
      <w:r>
        <w:rPr>
          <w:i/>
          <w:sz w:val="22"/>
        </w:rPr>
        <w:t xml:space="preserve">Produced in partnership with University Hospitals Bristol and Weston NHS Foundation Trust </w:t>
      </w:r>
    </w:p>
    <w:p w14:paraId="017D5B73" w14:textId="77777777" w:rsidR="003E2DCA" w:rsidRDefault="00000000">
      <w:pPr>
        <w:spacing w:after="0" w:line="259" w:lineRule="auto"/>
        <w:ind w:left="0" w:firstLine="0"/>
        <w:jc w:val="left"/>
      </w:pPr>
      <w:r>
        <w:rPr>
          <w:sz w:val="20"/>
        </w:rPr>
        <w:t xml:space="preserve"> </w:t>
      </w:r>
    </w:p>
    <w:p w14:paraId="4129ED2B" w14:textId="77777777" w:rsidR="003E2DCA" w:rsidRDefault="00000000">
      <w:pPr>
        <w:spacing w:after="0" w:line="259" w:lineRule="auto"/>
        <w:ind w:left="0" w:firstLine="0"/>
        <w:jc w:val="left"/>
      </w:pPr>
      <w:r>
        <w:rPr>
          <w:sz w:val="20"/>
        </w:rPr>
        <w:t xml:space="preserve"> </w:t>
      </w:r>
    </w:p>
    <w:p w14:paraId="007C72C7" w14:textId="77777777" w:rsidR="003E2DCA" w:rsidRDefault="00000000">
      <w:pPr>
        <w:spacing w:after="0" w:line="259" w:lineRule="auto"/>
        <w:ind w:left="0" w:firstLine="0"/>
        <w:jc w:val="left"/>
      </w:pPr>
      <w:r>
        <w:rPr>
          <w:sz w:val="20"/>
        </w:rPr>
        <w:t xml:space="preserve"> </w:t>
      </w:r>
    </w:p>
    <w:p w14:paraId="414BE74D" w14:textId="77777777" w:rsidR="003E2DCA" w:rsidRDefault="00000000">
      <w:pPr>
        <w:spacing w:after="60" w:line="259" w:lineRule="auto"/>
        <w:ind w:left="0" w:firstLine="0"/>
        <w:jc w:val="left"/>
      </w:pPr>
      <w:r>
        <w:rPr>
          <w:sz w:val="20"/>
        </w:rPr>
        <w:t xml:space="preserve"> </w:t>
      </w:r>
    </w:p>
    <w:p w14:paraId="17F558DB" w14:textId="77777777" w:rsidR="003E2DCA" w:rsidRDefault="00000000">
      <w:pPr>
        <w:spacing w:after="0" w:line="259" w:lineRule="auto"/>
        <w:ind w:left="0" w:firstLine="0"/>
        <w:jc w:val="left"/>
      </w:pPr>
      <w:r>
        <w:rPr>
          <w:sz w:val="28"/>
        </w:rPr>
        <w:t xml:space="preserve"> </w:t>
      </w:r>
    </w:p>
    <w:sectPr w:rsidR="003E2DCA">
      <w:pgSz w:w="11911" w:h="16841"/>
      <w:pgMar w:top="180" w:right="879" w:bottom="144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3A7DC5"/>
    <w:multiLevelType w:val="hybridMultilevel"/>
    <w:tmpl w:val="A620A4E6"/>
    <w:lvl w:ilvl="0" w:tplc="7DBC2840">
      <w:start w:val="1"/>
      <w:numFmt w:val="bullet"/>
      <w:lvlText w:val="•"/>
      <w:lvlJc w:val="left"/>
      <w:pPr>
        <w:ind w:left="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B05B40">
      <w:start w:val="1"/>
      <w:numFmt w:val="bullet"/>
      <w:lvlText w:val="o"/>
      <w:lvlJc w:val="left"/>
      <w:pPr>
        <w:ind w:left="11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0AC9EA">
      <w:start w:val="1"/>
      <w:numFmt w:val="bullet"/>
      <w:lvlText w:val="▪"/>
      <w:lvlJc w:val="left"/>
      <w:pPr>
        <w:ind w:left="19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387E32">
      <w:start w:val="1"/>
      <w:numFmt w:val="bullet"/>
      <w:lvlText w:val="•"/>
      <w:lvlJc w:val="left"/>
      <w:pPr>
        <w:ind w:left="2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6EC910">
      <w:start w:val="1"/>
      <w:numFmt w:val="bullet"/>
      <w:lvlText w:val="o"/>
      <w:lvlJc w:val="left"/>
      <w:pPr>
        <w:ind w:left="3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38515A">
      <w:start w:val="1"/>
      <w:numFmt w:val="bullet"/>
      <w:lvlText w:val="▪"/>
      <w:lvlJc w:val="left"/>
      <w:pPr>
        <w:ind w:left="40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96DDB8">
      <w:start w:val="1"/>
      <w:numFmt w:val="bullet"/>
      <w:lvlText w:val="•"/>
      <w:lvlJc w:val="left"/>
      <w:pPr>
        <w:ind w:left="4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A0094C">
      <w:start w:val="1"/>
      <w:numFmt w:val="bullet"/>
      <w:lvlText w:val="o"/>
      <w:lvlJc w:val="left"/>
      <w:pPr>
        <w:ind w:left="55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86ACDC">
      <w:start w:val="1"/>
      <w:numFmt w:val="bullet"/>
      <w:lvlText w:val="▪"/>
      <w:lvlJc w:val="left"/>
      <w:pPr>
        <w:ind w:left="62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71505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DCA"/>
    <w:rsid w:val="003378CC"/>
    <w:rsid w:val="00355EB2"/>
    <w:rsid w:val="003E2DCA"/>
    <w:rsid w:val="005B6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C00FB"/>
  <w15:docId w15:val="{6187EB0C-3E40-4B30-961D-0B0FD735A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1" w:line="227" w:lineRule="auto"/>
      <w:ind w:left="483" w:hanging="368"/>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aweb.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 Guidance for Suppliers Sales Representatives onsite visits</dc:title>
  <dc:subject/>
  <dc:creator>Wilkie, Georgina</dc:creator>
  <cp:keywords/>
  <cp:lastModifiedBy>Stew Bayldon</cp:lastModifiedBy>
  <cp:revision>4</cp:revision>
  <dcterms:created xsi:type="dcterms:W3CDTF">2024-07-29T09:11:00Z</dcterms:created>
  <dcterms:modified xsi:type="dcterms:W3CDTF">2024-07-29T09:12:00Z</dcterms:modified>
</cp:coreProperties>
</file>